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F89B" w14:textId="1D08515F" w:rsidR="00385AD5" w:rsidRPr="006F228D" w:rsidRDefault="00385AD5" w:rsidP="00017747">
      <w:pPr>
        <w:spacing w:after="0" w:line="240" w:lineRule="auto"/>
        <w:ind w:left="7088"/>
        <w:rPr>
          <w:rFonts w:cstheme="minorHAnsi"/>
          <w:sz w:val="16"/>
          <w:szCs w:val="16"/>
        </w:rPr>
      </w:pPr>
      <w:r w:rsidRPr="006F228D">
        <w:rPr>
          <w:rFonts w:cstheme="minorHAnsi"/>
          <w:sz w:val="16"/>
          <w:szCs w:val="16"/>
        </w:rPr>
        <w:t>Załącznik</w:t>
      </w:r>
      <w:r w:rsidR="00210B9F">
        <w:rPr>
          <w:rFonts w:cstheme="minorHAnsi"/>
          <w:sz w:val="16"/>
          <w:szCs w:val="16"/>
        </w:rPr>
        <w:t xml:space="preserve"> </w:t>
      </w:r>
      <w:r w:rsidRPr="006F228D">
        <w:rPr>
          <w:rFonts w:cstheme="minorHAnsi"/>
          <w:sz w:val="16"/>
          <w:szCs w:val="16"/>
        </w:rPr>
        <w:t xml:space="preserve">do </w:t>
      </w:r>
      <w:r w:rsidR="00210B9F">
        <w:rPr>
          <w:rFonts w:cstheme="minorHAnsi"/>
          <w:sz w:val="16"/>
          <w:szCs w:val="16"/>
        </w:rPr>
        <w:br/>
      </w:r>
      <w:r w:rsidR="00386805">
        <w:rPr>
          <w:rFonts w:cstheme="minorHAnsi"/>
          <w:sz w:val="16"/>
          <w:szCs w:val="16"/>
        </w:rPr>
        <w:t>zarządzenia Nr </w:t>
      </w:r>
      <w:r w:rsidR="00D709DE">
        <w:rPr>
          <w:rFonts w:cstheme="minorHAnsi"/>
          <w:sz w:val="16"/>
          <w:szCs w:val="16"/>
        </w:rPr>
        <w:t>36</w:t>
      </w:r>
      <w:r w:rsidR="00386805">
        <w:rPr>
          <w:rFonts w:cstheme="minorHAnsi"/>
          <w:sz w:val="16"/>
          <w:szCs w:val="16"/>
        </w:rPr>
        <w:t>/2026 Starosty Pułtuskiego</w:t>
      </w:r>
      <w:r w:rsidRPr="006F228D">
        <w:rPr>
          <w:rFonts w:cstheme="minorHAnsi"/>
          <w:sz w:val="16"/>
          <w:szCs w:val="16"/>
        </w:rPr>
        <w:t xml:space="preserve"> </w:t>
      </w:r>
      <w:r w:rsidRPr="006F228D">
        <w:rPr>
          <w:rFonts w:cstheme="minorHAnsi"/>
          <w:sz w:val="16"/>
          <w:szCs w:val="16"/>
        </w:rPr>
        <w:br/>
        <w:t xml:space="preserve">z dnia </w:t>
      </w:r>
      <w:r w:rsidR="007743D8">
        <w:rPr>
          <w:rFonts w:cstheme="minorHAnsi"/>
          <w:sz w:val="16"/>
          <w:szCs w:val="16"/>
        </w:rPr>
        <w:t>25</w:t>
      </w:r>
      <w:r w:rsidR="00210B9F">
        <w:rPr>
          <w:rFonts w:cstheme="minorHAnsi"/>
          <w:sz w:val="16"/>
          <w:szCs w:val="16"/>
        </w:rPr>
        <w:t> czerwca</w:t>
      </w:r>
      <w:r w:rsidRPr="006F228D">
        <w:rPr>
          <w:rFonts w:cstheme="minorHAnsi"/>
          <w:sz w:val="16"/>
          <w:szCs w:val="16"/>
        </w:rPr>
        <w:t xml:space="preserve"> 202</w:t>
      </w:r>
      <w:r w:rsidR="006E7BC6" w:rsidRPr="006F228D">
        <w:rPr>
          <w:rFonts w:cstheme="minorHAnsi"/>
          <w:sz w:val="16"/>
          <w:szCs w:val="16"/>
        </w:rPr>
        <w:t>6</w:t>
      </w:r>
      <w:r w:rsidRPr="006F228D">
        <w:rPr>
          <w:rFonts w:cstheme="minorHAnsi"/>
          <w:sz w:val="16"/>
          <w:szCs w:val="16"/>
        </w:rPr>
        <w:t> r.</w:t>
      </w:r>
    </w:p>
    <w:p w14:paraId="3A8CC6D2" w14:textId="77777777" w:rsidR="00AA12A8" w:rsidRPr="00017747" w:rsidRDefault="00AA12A8" w:rsidP="00017747">
      <w:pPr>
        <w:spacing w:after="0" w:line="360" w:lineRule="auto"/>
        <w:rPr>
          <w:rFonts w:cstheme="minorHAnsi"/>
        </w:rPr>
      </w:pPr>
    </w:p>
    <w:p w14:paraId="4BC04B5D" w14:textId="2858FCD8" w:rsidR="003D3839" w:rsidRPr="006F228D" w:rsidRDefault="002E2A86" w:rsidP="00017747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6F228D">
        <w:rPr>
          <w:rFonts w:cstheme="minorHAnsi"/>
          <w:b/>
          <w:bCs/>
          <w:sz w:val="28"/>
          <w:szCs w:val="28"/>
        </w:rPr>
        <w:t>Plan działania na rzecz poprawy zapewni</w:t>
      </w:r>
      <w:r w:rsidR="006F228D" w:rsidRPr="006F228D">
        <w:rPr>
          <w:rFonts w:cstheme="minorHAnsi"/>
          <w:b/>
          <w:bCs/>
          <w:sz w:val="28"/>
          <w:szCs w:val="28"/>
        </w:rPr>
        <w:t>a</w:t>
      </w:r>
      <w:r w:rsidRPr="006F228D">
        <w:rPr>
          <w:rFonts w:cstheme="minorHAnsi"/>
          <w:b/>
          <w:bCs/>
          <w:sz w:val="28"/>
          <w:szCs w:val="28"/>
        </w:rPr>
        <w:t>nia dostępności osobom ze</w:t>
      </w:r>
      <w:r w:rsidR="006F228D">
        <w:rPr>
          <w:rFonts w:cstheme="minorHAnsi"/>
          <w:b/>
          <w:bCs/>
          <w:sz w:val="28"/>
          <w:szCs w:val="28"/>
        </w:rPr>
        <w:t> </w:t>
      </w:r>
      <w:r w:rsidRPr="006F228D">
        <w:rPr>
          <w:rFonts w:cstheme="minorHAnsi"/>
          <w:b/>
          <w:bCs/>
          <w:sz w:val="28"/>
          <w:szCs w:val="28"/>
        </w:rPr>
        <w:t xml:space="preserve">szczególnymi potrzebami </w:t>
      </w:r>
      <w:r w:rsidR="00385AD5" w:rsidRPr="006F228D">
        <w:rPr>
          <w:rFonts w:cstheme="minorHAnsi"/>
          <w:b/>
          <w:bCs/>
          <w:sz w:val="28"/>
          <w:szCs w:val="28"/>
        </w:rPr>
        <w:t>w </w:t>
      </w:r>
      <w:r w:rsidRPr="006F228D">
        <w:rPr>
          <w:rFonts w:cstheme="minorHAnsi"/>
          <w:b/>
          <w:bCs/>
          <w:sz w:val="28"/>
          <w:szCs w:val="28"/>
        </w:rPr>
        <w:t>Starostw</w:t>
      </w:r>
      <w:r w:rsidR="00385AD5" w:rsidRPr="006F228D">
        <w:rPr>
          <w:rFonts w:cstheme="minorHAnsi"/>
          <w:b/>
          <w:bCs/>
          <w:sz w:val="28"/>
          <w:szCs w:val="28"/>
        </w:rPr>
        <w:t>ie</w:t>
      </w:r>
      <w:r w:rsidRPr="006F228D">
        <w:rPr>
          <w:rFonts w:cstheme="minorHAnsi"/>
          <w:b/>
          <w:bCs/>
          <w:sz w:val="28"/>
          <w:szCs w:val="28"/>
        </w:rPr>
        <w:t xml:space="preserve"> Powiatow</w:t>
      </w:r>
      <w:r w:rsidR="00385AD5" w:rsidRPr="006F228D">
        <w:rPr>
          <w:rFonts w:cstheme="minorHAnsi"/>
          <w:b/>
          <w:bCs/>
          <w:sz w:val="28"/>
          <w:szCs w:val="28"/>
        </w:rPr>
        <w:t>ym</w:t>
      </w:r>
      <w:r w:rsidRPr="006F228D">
        <w:rPr>
          <w:rFonts w:cstheme="minorHAnsi"/>
          <w:b/>
          <w:bCs/>
          <w:sz w:val="28"/>
          <w:szCs w:val="28"/>
        </w:rPr>
        <w:t xml:space="preserve"> w Pułtusku </w:t>
      </w:r>
    </w:p>
    <w:p w14:paraId="67DA681C" w14:textId="524D37D5" w:rsidR="0039135A" w:rsidRPr="00017747" w:rsidRDefault="0039135A" w:rsidP="00017747">
      <w:pPr>
        <w:spacing w:after="0" w:line="360" w:lineRule="auto"/>
        <w:jc w:val="both"/>
        <w:rPr>
          <w:rFonts w:cstheme="minorHAnsi"/>
        </w:rPr>
      </w:pPr>
    </w:p>
    <w:p w14:paraId="7763D006" w14:textId="5BAA0BD0" w:rsidR="0039135A" w:rsidRPr="00017747" w:rsidRDefault="00A9548A" w:rsidP="00017747">
      <w:pPr>
        <w:spacing w:after="0" w:line="360" w:lineRule="auto"/>
        <w:jc w:val="both"/>
        <w:rPr>
          <w:rFonts w:cstheme="minorHAnsi"/>
        </w:rPr>
      </w:pPr>
      <w:r w:rsidRPr="00017747">
        <w:rPr>
          <w:rFonts w:cstheme="minorHAnsi"/>
        </w:rPr>
        <w:t>Na podstawie art. 14 ust. 2 pkt 2 i ust. 5 w związku z art. 6 ustawy z dnia 19 lipca 2019 r. o zapewni</w:t>
      </w:r>
      <w:r w:rsidR="006F228D" w:rsidRPr="00017747">
        <w:rPr>
          <w:rFonts w:cstheme="minorHAnsi"/>
        </w:rPr>
        <w:t>a</w:t>
      </w:r>
      <w:r w:rsidRPr="00017747">
        <w:rPr>
          <w:rFonts w:cstheme="minorHAnsi"/>
        </w:rPr>
        <w:t xml:space="preserve">niu dostępności osobom ze szczególnymi potrzebami </w:t>
      </w:r>
      <w:r w:rsidR="00F1702B" w:rsidRPr="00017747">
        <w:rPr>
          <w:rFonts w:cstheme="minorHAnsi"/>
        </w:rPr>
        <w:t>przygotowan</w:t>
      </w:r>
      <w:r w:rsidR="00106845" w:rsidRPr="00017747">
        <w:rPr>
          <w:rFonts w:cstheme="minorHAnsi"/>
        </w:rPr>
        <w:t>y został</w:t>
      </w:r>
      <w:r w:rsidRPr="00017747">
        <w:rPr>
          <w:rFonts w:cstheme="minorHAnsi"/>
        </w:rPr>
        <w:t xml:space="preserve"> </w:t>
      </w:r>
      <w:r w:rsidR="00D709DE">
        <w:rPr>
          <w:rFonts w:cstheme="minorHAnsi"/>
        </w:rPr>
        <w:t>„P</w:t>
      </w:r>
      <w:r w:rsidRPr="00017747">
        <w:rPr>
          <w:rFonts w:cstheme="minorHAnsi"/>
        </w:rPr>
        <w:t>lan działania na rzecz poprawy zapewni</w:t>
      </w:r>
      <w:r w:rsidR="006F228D" w:rsidRPr="00017747">
        <w:rPr>
          <w:rFonts w:cstheme="minorHAnsi"/>
        </w:rPr>
        <w:t>a</w:t>
      </w:r>
      <w:r w:rsidRPr="00017747">
        <w:rPr>
          <w:rFonts w:cstheme="minorHAnsi"/>
        </w:rPr>
        <w:t>nia dostępności osobom ze szczególnymi potrzebami</w:t>
      </w:r>
      <w:r w:rsidR="00D709DE">
        <w:rPr>
          <w:rFonts w:cstheme="minorHAnsi"/>
        </w:rPr>
        <w:t>”</w:t>
      </w:r>
      <w:r w:rsidRPr="00017747">
        <w:rPr>
          <w:rFonts w:cstheme="minorHAnsi"/>
        </w:rPr>
        <w:t>.</w:t>
      </w:r>
      <w:r w:rsidR="00F1702B" w:rsidRPr="00017747">
        <w:rPr>
          <w:rFonts w:cstheme="minorHAnsi"/>
        </w:rPr>
        <w:t xml:space="preserve"> </w:t>
      </w:r>
      <w:r w:rsidR="0039135A" w:rsidRPr="00017747">
        <w:rPr>
          <w:rFonts w:cstheme="minorHAnsi"/>
        </w:rPr>
        <w:t>Jego celem jest zdefiniowanie działań, prowadzących do stałej poprawy dostępności Starostwa Powiatowego w</w:t>
      </w:r>
      <w:r w:rsidR="0015047A" w:rsidRPr="00017747">
        <w:rPr>
          <w:rFonts w:cstheme="minorHAnsi"/>
        </w:rPr>
        <w:t> </w:t>
      </w:r>
      <w:r w:rsidR="0039135A" w:rsidRPr="00017747">
        <w:rPr>
          <w:rFonts w:cstheme="minorHAnsi"/>
        </w:rPr>
        <w:t>Pułtusku.</w:t>
      </w:r>
    </w:p>
    <w:p w14:paraId="5DD6E40E" w14:textId="6D863EE3" w:rsidR="0039135A" w:rsidRPr="00017747" w:rsidRDefault="0039135A" w:rsidP="00017747">
      <w:pPr>
        <w:spacing w:before="120" w:after="0" w:line="360" w:lineRule="auto"/>
        <w:jc w:val="both"/>
        <w:rPr>
          <w:rFonts w:cstheme="minorHAnsi"/>
        </w:rPr>
      </w:pPr>
      <w:r w:rsidRPr="00017747">
        <w:rPr>
          <w:rFonts w:cstheme="minorHAnsi"/>
        </w:rPr>
        <w:t>Plan został opracowany w oparciu o dobre praktyki oraz obowiązujące przepisy prawne z</w:t>
      </w:r>
      <w:r w:rsidR="004B5095" w:rsidRPr="00017747">
        <w:rPr>
          <w:rFonts w:cstheme="minorHAnsi"/>
        </w:rPr>
        <w:t> </w:t>
      </w:r>
      <w:r w:rsidRPr="00017747">
        <w:rPr>
          <w:rFonts w:cstheme="minorHAnsi"/>
        </w:rPr>
        <w:t xml:space="preserve">zakresu dostępności: </w:t>
      </w:r>
    </w:p>
    <w:p w14:paraId="744DBEC8" w14:textId="6AAC1C16" w:rsidR="004B5095" w:rsidRPr="00017747" w:rsidRDefault="004B5095" w:rsidP="00017747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</w:rPr>
      </w:pPr>
      <w:r w:rsidRPr="00017747">
        <w:rPr>
          <w:rFonts w:cstheme="minorHAnsi"/>
        </w:rPr>
        <w:t>U</w:t>
      </w:r>
      <w:r w:rsidR="0039135A" w:rsidRPr="00017747">
        <w:rPr>
          <w:rFonts w:cstheme="minorHAnsi"/>
        </w:rPr>
        <w:t>stawę z dnia 19</w:t>
      </w:r>
      <w:r w:rsidRPr="00017747">
        <w:rPr>
          <w:rFonts w:cstheme="minorHAnsi"/>
        </w:rPr>
        <w:t> </w:t>
      </w:r>
      <w:r w:rsidR="0039135A" w:rsidRPr="00017747">
        <w:rPr>
          <w:rFonts w:cstheme="minorHAnsi"/>
        </w:rPr>
        <w:t>lipca 2019</w:t>
      </w:r>
      <w:r w:rsidRPr="00017747">
        <w:rPr>
          <w:rFonts w:cstheme="minorHAnsi"/>
        </w:rPr>
        <w:t> </w:t>
      </w:r>
      <w:r w:rsidR="0039135A" w:rsidRPr="00017747">
        <w:rPr>
          <w:rFonts w:cstheme="minorHAnsi"/>
        </w:rPr>
        <w:t>r. o zapewni</w:t>
      </w:r>
      <w:r w:rsidR="006F228D" w:rsidRPr="00017747">
        <w:rPr>
          <w:rFonts w:cstheme="minorHAnsi"/>
        </w:rPr>
        <w:t>a</w:t>
      </w:r>
      <w:r w:rsidR="0039135A" w:rsidRPr="00017747">
        <w:rPr>
          <w:rFonts w:cstheme="minorHAnsi"/>
        </w:rPr>
        <w:t>niu dostępności osobom ze szczególnymi potrzebami</w:t>
      </w:r>
      <w:r w:rsidRPr="00017747">
        <w:rPr>
          <w:rFonts w:cstheme="minorHAnsi"/>
          <w:b/>
          <w:bCs/>
        </w:rPr>
        <w:t>.</w:t>
      </w:r>
    </w:p>
    <w:p w14:paraId="49B94362" w14:textId="0BE8C375" w:rsidR="0039135A" w:rsidRPr="00017747" w:rsidRDefault="0039135A" w:rsidP="00017747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</w:rPr>
      </w:pPr>
      <w:r w:rsidRPr="00017747">
        <w:rPr>
          <w:rFonts w:cstheme="minorHAnsi"/>
        </w:rPr>
        <w:t>Ustawę z dnia 4</w:t>
      </w:r>
      <w:r w:rsidR="004B5095" w:rsidRPr="00017747">
        <w:rPr>
          <w:rFonts w:cstheme="minorHAnsi"/>
        </w:rPr>
        <w:t> </w:t>
      </w:r>
      <w:r w:rsidRPr="00017747">
        <w:rPr>
          <w:rFonts w:cstheme="minorHAnsi"/>
        </w:rPr>
        <w:t>kwietnia 2019</w:t>
      </w:r>
      <w:r w:rsidR="004B5095" w:rsidRPr="00017747">
        <w:rPr>
          <w:rFonts w:cstheme="minorHAnsi"/>
        </w:rPr>
        <w:t> </w:t>
      </w:r>
      <w:r w:rsidRPr="00017747">
        <w:rPr>
          <w:rFonts w:cstheme="minorHAnsi"/>
        </w:rPr>
        <w:t>r. o dostępności cyfrowej stron internetowych i</w:t>
      </w:r>
      <w:r w:rsidR="004B5095" w:rsidRPr="00017747">
        <w:rPr>
          <w:rFonts w:cstheme="minorHAnsi"/>
        </w:rPr>
        <w:t> </w:t>
      </w:r>
      <w:r w:rsidRPr="00017747">
        <w:rPr>
          <w:rFonts w:cstheme="minorHAnsi"/>
        </w:rPr>
        <w:t>aplikacji mobilnych podmiotów publicznych</w:t>
      </w:r>
      <w:r w:rsidR="002B0190" w:rsidRPr="00017747">
        <w:rPr>
          <w:rFonts w:cstheme="minorHAnsi"/>
        </w:rPr>
        <w:t>.</w:t>
      </w:r>
    </w:p>
    <w:p w14:paraId="1609118F" w14:textId="32A2CAB1" w:rsidR="00790EBF" w:rsidRPr="00017747" w:rsidRDefault="0005618A" w:rsidP="00017747">
      <w:pPr>
        <w:spacing w:before="120" w:after="0" w:line="360" w:lineRule="auto"/>
        <w:jc w:val="both"/>
        <w:rPr>
          <w:rFonts w:cstheme="minorHAnsi"/>
        </w:rPr>
      </w:pPr>
      <w:r w:rsidRPr="00017747">
        <w:rPr>
          <w:rFonts w:cstheme="minorHAnsi"/>
        </w:rPr>
        <w:t>Priorytetem przy opracowywaniu rozwiązań było uwzględnienie problematyki osób ze szczególnymi potrzebami</w:t>
      </w:r>
      <w:r w:rsidR="00AA12A8" w:rsidRPr="00017747">
        <w:rPr>
          <w:rFonts w:cstheme="minorHAnsi"/>
        </w:rPr>
        <w:t>.</w:t>
      </w:r>
      <w:r w:rsidR="00E00702" w:rsidRPr="00017747">
        <w:rPr>
          <w:rFonts w:cstheme="minorHAnsi"/>
        </w:rPr>
        <w:t xml:space="preserve"> </w:t>
      </w:r>
      <w:r w:rsidR="000B5315" w:rsidRPr="00017747">
        <w:rPr>
          <w:rFonts w:cstheme="minorHAnsi"/>
        </w:rPr>
        <w:t>Dostosowanie urzędu Starostwa Powiatowego w Pułtusku do potrzeb tej grupy obywateli umożliwi im samodzielne poruszanie się</w:t>
      </w:r>
      <w:r w:rsidR="000B5182" w:rsidRPr="00017747">
        <w:rPr>
          <w:rFonts w:cstheme="minorHAnsi"/>
        </w:rPr>
        <w:t xml:space="preserve"> i</w:t>
      </w:r>
      <w:r w:rsidR="006F228D" w:rsidRPr="00017747">
        <w:rPr>
          <w:rFonts w:cstheme="minorHAnsi"/>
        </w:rPr>
        <w:t> </w:t>
      </w:r>
      <w:r w:rsidR="000B5182" w:rsidRPr="00017747">
        <w:rPr>
          <w:rFonts w:cstheme="minorHAnsi"/>
        </w:rPr>
        <w:t>załatwianie spraw urzędowych</w:t>
      </w:r>
      <w:r w:rsidR="0021761A" w:rsidRPr="00017747">
        <w:rPr>
          <w:rFonts w:cstheme="minorHAnsi"/>
        </w:rPr>
        <w:t>.</w:t>
      </w:r>
    </w:p>
    <w:p w14:paraId="290DFC2A" w14:textId="77777777" w:rsidR="008504F5" w:rsidRPr="00017747" w:rsidRDefault="008504F5" w:rsidP="00017747">
      <w:pPr>
        <w:spacing w:after="0" w:line="360" w:lineRule="auto"/>
        <w:jc w:val="both"/>
        <w:rPr>
          <w:rFonts w:cstheme="minorHAnsi"/>
        </w:rPr>
      </w:pPr>
    </w:p>
    <w:p w14:paraId="5720C4E3" w14:textId="27B6E675" w:rsidR="0005618A" w:rsidRPr="00017747" w:rsidRDefault="0005618A" w:rsidP="00017747">
      <w:pPr>
        <w:spacing w:after="0" w:line="360" w:lineRule="auto"/>
        <w:jc w:val="both"/>
        <w:rPr>
          <w:rFonts w:cstheme="minorHAnsi"/>
          <w:b/>
          <w:bCs/>
          <w:sz w:val="23"/>
          <w:szCs w:val="23"/>
        </w:rPr>
      </w:pPr>
      <w:r w:rsidRPr="00017747">
        <w:rPr>
          <w:rFonts w:cstheme="minorHAnsi"/>
          <w:b/>
          <w:bCs/>
          <w:sz w:val="23"/>
          <w:szCs w:val="23"/>
        </w:rPr>
        <w:t>Analiza stanu zapewni</w:t>
      </w:r>
      <w:r w:rsidR="006F228D" w:rsidRPr="00017747">
        <w:rPr>
          <w:rFonts w:cstheme="minorHAnsi"/>
          <w:b/>
          <w:bCs/>
          <w:sz w:val="23"/>
          <w:szCs w:val="23"/>
        </w:rPr>
        <w:t>a</w:t>
      </w:r>
      <w:r w:rsidRPr="00017747">
        <w:rPr>
          <w:rFonts w:cstheme="minorHAnsi"/>
          <w:b/>
          <w:bCs/>
          <w:sz w:val="23"/>
          <w:szCs w:val="23"/>
        </w:rPr>
        <w:t>nia dostępności osobom ze szczególnymi potrzebami</w:t>
      </w:r>
    </w:p>
    <w:p w14:paraId="69E7A226" w14:textId="7D861165" w:rsidR="00917845" w:rsidRPr="00017747" w:rsidRDefault="002A0350" w:rsidP="00017747">
      <w:pPr>
        <w:pStyle w:val="Akapitzlist"/>
        <w:numPr>
          <w:ilvl w:val="0"/>
          <w:numId w:val="13"/>
        </w:numPr>
        <w:spacing w:before="240" w:after="0" w:line="360" w:lineRule="auto"/>
        <w:ind w:left="425" w:hanging="425"/>
        <w:contextualSpacing w:val="0"/>
        <w:jc w:val="both"/>
        <w:rPr>
          <w:rFonts w:cstheme="minorHAnsi"/>
          <w:sz w:val="23"/>
          <w:szCs w:val="23"/>
          <w:u w:val="single"/>
        </w:rPr>
      </w:pPr>
      <w:r w:rsidRPr="00017747">
        <w:rPr>
          <w:rFonts w:cstheme="minorHAnsi"/>
          <w:sz w:val="23"/>
          <w:szCs w:val="23"/>
          <w:u w:val="single"/>
        </w:rPr>
        <w:t>Dostępność architektoniczna</w:t>
      </w:r>
    </w:p>
    <w:p w14:paraId="350FF85D" w14:textId="78F19E61" w:rsidR="002A0350" w:rsidRPr="00017747" w:rsidRDefault="00917845" w:rsidP="00017747">
      <w:pPr>
        <w:pStyle w:val="Akapitzlist"/>
        <w:spacing w:before="120" w:after="0" w:line="360" w:lineRule="auto"/>
        <w:ind w:left="425"/>
        <w:contextualSpacing w:val="0"/>
        <w:jc w:val="both"/>
        <w:rPr>
          <w:rFonts w:cstheme="minorHAnsi"/>
          <w:sz w:val="23"/>
          <w:szCs w:val="23"/>
          <w:u w:val="single"/>
        </w:rPr>
      </w:pPr>
      <w:r w:rsidRPr="00017747">
        <w:rPr>
          <w:rFonts w:cstheme="minorHAnsi"/>
          <w:sz w:val="23"/>
          <w:szCs w:val="23"/>
        </w:rPr>
        <w:t>B</w:t>
      </w:r>
      <w:r w:rsidR="002A0350" w:rsidRPr="00017747">
        <w:rPr>
          <w:rFonts w:cstheme="minorHAnsi"/>
          <w:sz w:val="23"/>
          <w:szCs w:val="23"/>
        </w:rPr>
        <w:t>udynek przy ul. Marii Skłodowskiej-Curie 11 w Pułtusku</w:t>
      </w:r>
      <w:r w:rsidRPr="00017747">
        <w:rPr>
          <w:rFonts w:cstheme="minorHAnsi"/>
          <w:sz w:val="23"/>
          <w:szCs w:val="23"/>
        </w:rPr>
        <w:t>:</w:t>
      </w:r>
    </w:p>
    <w:p w14:paraId="0BB92015" w14:textId="77777777" w:rsidR="00224F79" w:rsidRPr="00017747" w:rsidRDefault="002A0350" w:rsidP="00017747">
      <w:pPr>
        <w:pStyle w:val="Akapitzlist"/>
        <w:numPr>
          <w:ilvl w:val="0"/>
          <w:numId w:val="15"/>
        </w:numPr>
        <w:spacing w:after="0" w:line="360" w:lineRule="auto"/>
        <w:ind w:left="851" w:hanging="425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Przed budynkiem znajduj</w:t>
      </w:r>
      <w:r w:rsidR="00224F79" w:rsidRPr="00017747">
        <w:rPr>
          <w:rFonts w:cstheme="minorHAnsi"/>
          <w:sz w:val="23"/>
          <w:szCs w:val="23"/>
        </w:rPr>
        <w:t>ą</w:t>
      </w:r>
      <w:r w:rsidRPr="00017747">
        <w:rPr>
          <w:rFonts w:cstheme="minorHAnsi"/>
          <w:sz w:val="23"/>
          <w:szCs w:val="23"/>
        </w:rPr>
        <w:t xml:space="preserve"> się </w:t>
      </w:r>
      <w:r w:rsidR="00224F79" w:rsidRPr="00017747">
        <w:rPr>
          <w:rFonts w:cstheme="minorHAnsi"/>
          <w:sz w:val="23"/>
          <w:szCs w:val="23"/>
        </w:rPr>
        <w:t>4 </w:t>
      </w:r>
      <w:r w:rsidRPr="00017747">
        <w:rPr>
          <w:rFonts w:cstheme="minorHAnsi"/>
          <w:sz w:val="23"/>
          <w:szCs w:val="23"/>
        </w:rPr>
        <w:t>miejsc</w:t>
      </w:r>
      <w:r w:rsidR="00224F79" w:rsidRPr="00017747">
        <w:rPr>
          <w:rFonts w:cstheme="minorHAnsi"/>
          <w:sz w:val="23"/>
          <w:szCs w:val="23"/>
        </w:rPr>
        <w:t>a</w:t>
      </w:r>
      <w:r w:rsidRPr="00017747">
        <w:rPr>
          <w:rFonts w:cstheme="minorHAnsi"/>
          <w:sz w:val="23"/>
          <w:szCs w:val="23"/>
        </w:rPr>
        <w:t xml:space="preserve"> parkingowe</w:t>
      </w:r>
      <w:r w:rsidR="00224F79" w:rsidRPr="00017747">
        <w:rPr>
          <w:rFonts w:cstheme="minorHAnsi"/>
          <w:sz w:val="23"/>
          <w:szCs w:val="23"/>
        </w:rPr>
        <w:t xml:space="preserve"> dla osób ze szczególnymi potrzebami, z czego: 2 – dla osób z niepełnosprawnością, 1 – dla rodzin z dziećmi i 1 – dla kobiet w ciąży</w:t>
      </w:r>
      <w:r w:rsidRPr="00017747">
        <w:rPr>
          <w:rFonts w:cstheme="minorHAnsi"/>
          <w:sz w:val="23"/>
          <w:szCs w:val="23"/>
        </w:rPr>
        <w:t>.</w:t>
      </w:r>
    </w:p>
    <w:p w14:paraId="4CEE1DE5" w14:textId="77777777" w:rsidR="00224F79" w:rsidRPr="00017747" w:rsidRDefault="00224F79" w:rsidP="00017747">
      <w:pPr>
        <w:pStyle w:val="Akapitzlist"/>
        <w:numPr>
          <w:ilvl w:val="0"/>
          <w:numId w:val="15"/>
        </w:numPr>
        <w:spacing w:after="0" w:line="360" w:lineRule="auto"/>
        <w:ind w:left="851" w:hanging="425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Do budynku prowadzą 3 wejścia oznaczone literami A (od ul. Marii Skłodowskiej-Curie), B i C (od strony ul. Nasielskiej).</w:t>
      </w:r>
    </w:p>
    <w:p w14:paraId="1D639A95" w14:textId="77777777" w:rsidR="00224F79" w:rsidRPr="00017747" w:rsidRDefault="00224F79" w:rsidP="00017747">
      <w:pPr>
        <w:pStyle w:val="Akapitzlist"/>
        <w:numPr>
          <w:ilvl w:val="0"/>
          <w:numId w:val="15"/>
        </w:numPr>
        <w:spacing w:after="0" w:line="360" w:lineRule="auto"/>
        <w:ind w:left="851" w:hanging="425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Do wejścia oznaczonego literą A prowadzą schody i można wejść z niego bezpośrednio do pomieszczenia Kancelarii.</w:t>
      </w:r>
    </w:p>
    <w:p w14:paraId="77A60DB7" w14:textId="77777777" w:rsidR="00224F79" w:rsidRPr="00017747" w:rsidRDefault="00224F79" w:rsidP="00017747">
      <w:pPr>
        <w:pStyle w:val="Akapitzlist"/>
        <w:numPr>
          <w:ilvl w:val="0"/>
          <w:numId w:val="15"/>
        </w:numPr>
        <w:spacing w:after="0" w:line="360" w:lineRule="auto"/>
        <w:ind w:left="851" w:hanging="425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Kancelaria jest wyposażona w specjalnie dostosowane stanowisko do obsługi osób, które poruszają się na wózkach inwalidzkich (obniżona lada).</w:t>
      </w:r>
    </w:p>
    <w:p w14:paraId="63A692D3" w14:textId="77777777" w:rsidR="00224F79" w:rsidRPr="00017747" w:rsidRDefault="00224F79" w:rsidP="00017747">
      <w:pPr>
        <w:pStyle w:val="Akapitzlist"/>
        <w:numPr>
          <w:ilvl w:val="0"/>
          <w:numId w:val="15"/>
        </w:numPr>
        <w:spacing w:after="0" w:line="360" w:lineRule="auto"/>
        <w:ind w:left="851" w:hanging="425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lastRenderedPageBreak/>
        <w:t>W sąsiedztwie Kancelarii znajduje się winda, umożliwiająca dostanie się na piętro budynku.</w:t>
      </w:r>
    </w:p>
    <w:p w14:paraId="2DBEDF4E" w14:textId="09B3FD5D" w:rsidR="00224F79" w:rsidRPr="00017747" w:rsidRDefault="00224F79" w:rsidP="00017747">
      <w:pPr>
        <w:pStyle w:val="Akapitzlist"/>
        <w:numPr>
          <w:ilvl w:val="0"/>
          <w:numId w:val="15"/>
        </w:numPr>
        <w:spacing w:after="0" w:line="360" w:lineRule="auto"/>
        <w:ind w:left="851" w:hanging="425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Wejście B jest dostosowane dla osób poruszających się na wózkach (zniwelowany próg). W</w:t>
      </w:r>
      <w:r w:rsidR="006F228D" w:rsidRPr="00017747">
        <w:rPr>
          <w:rFonts w:cstheme="minorHAnsi"/>
          <w:sz w:val="23"/>
          <w:szCs w:val="23"/>
        </w:rPr>
        <w:t> </w:t>
      </w:r>
      <w:r w:rsidRPr="00017747">
        <w:rPr>
          <w:rFonts w:cstheme="minorHAnsi"/>
          <w:sz w:val="23"/>
          <w:szCs w:val="23"/>
        </w:rPr>
        <w:t>pobliżu wejścia znajduje się toaleta dostosowana dla osób z niepełnosprawnością oraz winda.</w:t>
      </w:r>
    </w:p>
    <w:p w14:paraId="3050D8A5" w14:textId="77777777" w:rsidR="00224F79" w:rsidRPr="00017747" w:rsidRDefault="00224F79" w:rsidP="00017747">
      <w:pPr>
        <w:pStyle w:val="Akapitzlist"/>
        <w:numPr>
          <w:ilvl w:val="0"/>
          <w:numId w:val="15"/>
        </w:numPr>
        <w:spacing w:after="0" w:line="360" w:lineRule="auto"/>
        <w:ind w:left="851" w:hanging="425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W toalecie dla osób z niepełnosprawnością znajduje się przewijak dla niemowląt.</w:t>
      </w:r>
    </w:p>
    <w:p w14:paraId="7D891514" w14:textId="2A46AE83" w:rsidR="00224F79" w:rsidRPr="00017747" w:rsidRDefault="00224F79" w:rsidP="00017747">
      <w:pPr>
        <w:pStyle w:val="Akapitzlist"/>
        <w:numPr>
          <w:ilvl w:val="0"/>
          <w:numId w:val="15"/>
        </w:numPr>
        <w:spacing w:after="0" w:line="360" w:lineRule="auto"/>
        <w:ind w:left="851" w:hanging="425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Do budynku i wszystkich jego pomieszczeń można wejść z psem asystującym i psem przewodnikiem (zgodnie z ustawą z dnia 27 sierpnia 1997 r. o rehabilitacji zawodowej i</w:t>
      </w:r>
      <w:r w:rsidR="006F228D" w:rsidRPr="00017747">
        <w:rPr>
          <w:rFonts w:cstheme="minorHAnsi"/>
          <w:sz w:val="23"/>
          <w:szCs w:val="23"/>
        </w:rPr>
        <w:t> </w:t>
      </w:r>
      <w:r w:rsidRPr="00017747">
        <w:rPr>
          <w:rFonts w:cstheme="minorHAnsi"/>
          <w:sz w:val="23"/>
          <w:szCs w:val="23"/>
        </w:rPr>
        <w:t>społecznej oraz zatrudnieniu osób niepełnosprawnych</w:t>
      </w:r>
      <w:r w:rsidR="00D709DE">
        <w:rPr>
          <w:rFonts w:cstheme="minorHAnsi"/>
          <w:sz w:val="23"/>
          <w:szCs w:val="23"/>
        </w:rPr>
        <w:t>)</w:t>
      </w:r>
      <w:r w:rsidRPr="00017747">
        <w:rPr>
          <w:rFonts w:cstheme="minorHAnsi"/>
          <w:sz w:val="23"/>
          <w:szCs w:val="23"/>
        </w:rPr>
        <w:t>.</w:t>
      </w:r>
    </w:p>
    <w:p w14:paraId="4096A5B1" w14:textId="75832FC8" w:rsidR="00224F79" w:rsidRPr="00017747" w:rsidRDefault="00224F79" w:rsidP="00017747">
      <w:pPr>
        <w:pStyle w:val="Akapitzlist"/>
        <w:numPr>
          <w:ilvl w:val="0"/>
          <w:numId w:val="15"/>
        </w:numPr>
        <w:spacing w:after="0" w:line="360" w:lineRule="auto"/>
        <w:ind w:left="851" w:hanging="425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Tablice informacyjne znajdujące się w pobliżu wejść zawierają oznaczenia kontrastowe i</w:t>
      </w:r>
      <w:r w:rsidR="006F228D" w:rsidRPr="00017747">
        <w:rPr>
          <w:rFonts w:cstheme="minorHAnsi"/>
          <w:sz w:val="23"/>
          <w:szCs w:val="23"/>
        </w:rPr>
        <w:t> </w:t>
      </w:r>
      <w:r w:rsidRPr="00017747">
        <w:rPr>
          <w:rFonts w:cstheme="minorHAnsi"/>
          <w:sz w:val="23"/>
          <w:szCs w:val="23"/>
        </w:rPr>
        <w:t>czytelną (</w:t>
      </w:r>
      <w:proofErr w:type="spellStart"/>
      <w:r w:rsidRPr="00017747">
        <w:rPr>
          <w:rFonts w:cstheme="minorHAnsi"/>
          <w:sz w:val="23"/>
          <w:szCs w:val="23"/>
        </w:rPr>
        <w:t>bezszeryfową</w:t>
      </w:r>
      <w:proofErr w:type="spellEnd"/>
      <w:r w:rsidRPr="00017747">
        <w:rPr>
          <w:rFonts w:cstheme="minorHAnsi"/>
          <w:sz w:val="23"/>
          <w:szCs w:val="23"/>
        </w:rPr>
        <w:t>)</w:t>
      </w:r>
      <w:r w:rsidR="00D709DE">
        <w:rPr>
          <w:rFonts w:cstheme="minorHAnsi"/>
          <w:sz w:val="23"/>
          <w:szCs w:val="23"/>
        </w:rPr>
        <w:t xml:space="preserve"> </w:t>
      </w:r>
      <w:r w:rsidRPr="00017747">
        <w:rPr>
          <w:rFonts w:cstheme="minorHAnsi"/>
          <w:sz w:val="23"/>
          <w:szCs w:val="23"/>
        </w:rPr>
        <w:t>czcionkę dla osób słabowidzących.</w:t>
      </w:r>
    </w:p>
    <w:p w14:paraId="4112E085" w14:textId="77777777" w:rsidR="00224F79" w:rsidRPr="00017747" w:rsidRDefault="00224F79" w:rsidP="00017747">
      <w:pPr>
        <w:pStyle w:val="Akapitzlist"/>
        <w:numPr>
          <w:ilvl w:val="0"/>
          <w:numId w:val="15"/>
        </w:numPr>
        <w:spacing w:after="0" w:line="360" w:lineRule="auto"/>
        <w:ind w:left="851" w:hanging="425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Informacja z numerami pokoi i nazwami komórek organizacyjnych w kolorach kontrastujących ze sobą oraz w alfabecie Braille'a znajduje się na drzwiach wewnętrznych po stronie klamki na wysokości 120 cm licząc od podłogi do dolnej krawędzi tabliczki.</w:t>
      </w:r>
    </w:p>
    <w:p w14:paraId="45793449" w14:textId="33EAF5FC" w:rsidR="00224F79" w:rsidRPr="00017747" w:rsidRDefault="00224F79" w:rsidP="00017747">
      <w:pPr>
        <w:pStyle w:val="Akapitzlist"/>
        <w:numPr>
          <w:ilvl w:val="0"/>
          <w:numId w:val="15"/>
        </w:numPr>
        <w:spacing w:after="0" w:line="360" w:lineRule="auto"/>
        <w:ind w:left="851" w:hanging="425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 xml:space="preserve">W budynku znajdują się 2 mapy </w:t>
      </w:r>
      <w:proofErr w:type="spellStart"/>
      <w:r w:rsidRPr="00017747">
        <w:rPr>
          <w:rFonts w:cstheme="minorHAnsi"/>
          <w:sz w:val="23"/>
          <w:szCs w:val="23"/>
        </w:rPr>
        <w:t>tyflograficzne</w:t>
      </w:r>
      <w:proofErr w:type="spellEnd"/>
      <w:r w:rsidRPr="00017747">
        <w:rPr>
          <w:rFonts w:cstheme="minorHAnsi"/>
          <w:sz w:val="23"/>
          <w:szCs w:val="23"/>
        </w:rPr>
        <w:t>, po jednej na parter</w:t>
      </w:r>
      <w:r w:rsidR="00D709DE">
        <w:rPr>
          <w:rFonts w:cstheme="minorHAnsi"/>
          <w:sz w:val="23"/>
          <w:szCs w:val="23"/>
        </w:rPr>
        <w:t>ze</w:t>
      </w:r>
      <w:r w:rsidRPr="00017747">
        <w:rPr>
          <w:rFonts w:cstheme="minorHAnsi"/>
          <w:sz w:val="23"/>
          <w:szCs w:val="23"/>
        </w:rPr>
        <w:t xml:space="preserve"> i pierwsz</w:t>
      </w:r>
      <w:r w:rsidR="00D709DE">
        <w:rPr>
          <w:rFonts w:cstheme="minorHAnsi"/>
          <w:sz w:val="23"/>
          <w:szCs w:val="23"/>
        </w:rPr>
        <w:t>ym</w:t>
      </w:r>
      <w:r w:rsidRPr="00017747">
        <w:rPr>
          <w:rFonts w:cstheme="minorHAnsi"/>
          <w:sz w:val="23"/>
          <w:szCs w:val="23"/>
        </w:rPr>
        <w:t xml:space="preserve"> piętr</w:t>
      </w:r>
      <w:r w:rsidR="00D709DE">
        <w:rPr>
          <w:rFonts w:cstheme="minorHAnsi"/>
          <w:sz w:val="23"/>
          <w:szCs w:val="23"/>
        </w:rPr>
        <w:t>ze</w:t>
      </w:r>
      <w:r w:rsidRPr="00017747">
        <w:rPr>
          <w:rFonts w:cstheme="minorHAnsi"/>
          <w:sz w:val="23"/>
          <w:szCs w:val="23"/>
        </w:rPr>
        <w:t>. Mapa przedstawiająca rzut parteru zlokalizowana została za wejściem B.</w:t>
      </w:r>
      <w:r w:rsidR="00D709DE">
        <w:rPr>
          <w:rFonts w:cstheme="minorHAnsi"/>
          <w:sz w:val="23"/>
          <w:szCs w:val="23"/>
        </w:rPr>
        <w:t xml:space="preserve"> Mapa przedstawiająca rzut pierwszego piętra znajduje się przy sekretariacie.</w:t>
      </w:r>
    </w:p>
    <w:p w14:paraId="0167ADA5" w14:textId="55642E07" w:rsidR="00210B9F" w:rsidRPr="00017747" w:rsidRDefault="00F41F84" w:rsidP="00017747">
      <w:pPr>
        <w:spacing w:after="0" w:line="360" w:lineRule="auto"/>
        <w:ind w:left="426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 xml:space="preserve">Procedura ewakuacji osób ze szczególnymi potrzebami w Starostwie Powiatowym w Pułtusku została wprowadzona zarządzeniem Nr 36/2022 Starosty Pułtuskiego z dnia 12 sierpnia 2022 r. Krzesło ewakuacyjne znajduje się na </w:t>
      </w:r>
      <w:r w:rsidR="005452C1">
        <w:rPr>
          <w:rFonts w:cstheme="minorHAnsi"/>
          <w:sz w:val="23"/>
          <w:szCs w:val="23"/>
        </w:rPr>
        <w:t xml:space="preserve">pierwszym </w:t>
      </w:r>
      <w:r w:rsidRPr="00017747">
        <w:rPr>
          <w:rFonts w:cstheme="minorHAnsi"/>
          <w:sz w:val="23"/>
          <w:szCs w:val="23"/>
        </w:rPr>
        <w:t>piętrze klatki schodowej prowadzącej do wejścia oznaczonego literą C.</w:t>
      </w:r>
    </w:p>
    <w:p w14:paraId="1A249ACF" w14:textId="77777777" w:rsidR="008504F5" w:rsidRPr="00017747" w:rsidRDefault="008504F5" w:rsidP="00017747">
      <w:pPr>
        <w:spacing w:after="0" w:line="360" w:lineRule="auto"/>
        <w:jc w:val="both"/>
        <w:rPr>
          <w:rFonts w:cstheme="minorHAnsi"/>
        </w:rPr>
      </w:pPr>
    </w:p>
    <w:p w14:paraId="333BCEBF" w14:textId="4BDADF9C" w:rsidR="002A0350" w:rsidRPr="00017747" w:rsidRDefault="002A0350" w:rsidP="00017747">
      <w:pPr>
        <w:pStyle w:val="Akapitzlist"/>
        <w:numPr>
          <w:ilvl w:val="0"/>
          <w:numId w:val="13"/>
        </w:numPr>
        <w:spacing w:after="0" w:line="360" w:lineRule="auto"/>
        <w:ind w:left="425" w:hanging="425"/>
        <w:contextualSpacing w:val="0"/>
        <w:jc w:val="both"/>
        <w:rPr>
          <w:rFonts w:cstheme="minorHAnsi"/>
          <w:sz w:val="23"/>
          <w:szCs w:val="23"/>
          <w:u w:val="single"/>
        </w:rPr>
      </w:pPr>
      <w:r w:rsidRPr="00017747">
        <w:rPr>
          <w:rFonts w:cstheme="minorHAnsi"/>
          <w:sz w:val="23"/>
          <w:szCs w:val="23"/>
          <w:u w:val="single"/>
        </w:rPr>
        <w:t>Dostępność cyfrowa</w:t>
      </w:r>
    </w:p>
    <w:p w14:paraId="505A0267" w14:textId="2ACFA609" w:rsidR="0038447E" w:rsidRPr="00017747" w:rsidRDefault="0038447E" w:rsidP="00017747">
      <w:pPr>
        <w:pStyle w:val="Akapitzlist"/>
        <w:spacing w:before="120" w:after="0" w:line="360" w:lineRule="auto"/>
        <w:ind w:left="425"/>
        <w:contextualSpacing w:val="0"/>
        <w:jc w:val="both"/>
        <w:rPr>
          <w:rFonts w:cstheme="minorHAnsi"/>
          <w:color w:val="212529"/>
          <w:sz w:val="23"/>
          <w:szCs w:val="23"/>
          <w:shd w:val="clear" w:color="auto" w:fill="FFFFFF"/>
        </w:rPr>
      </w:pP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>Starostwo Powiatowe w Pułtusku zobowiązuje się zapewnić dostępność swojej strony internetowej zgodnie z przepisami ustawy z dnia 4</w:t>
      </w:r>
      <w:r w:rsidR="0015047A" w:rsidRPr="00017747">
        <w:rPr>
          <w:rFonts w:cstheme="minorHAnsi"/>
          <w:color w:val="212529"/>
          <w:sz w:val="23"/>
          <w:szCs w:val="23"/>
          <w:shd w:val="clear" w:color="auto" w:fill="FFFFFF"/>
        </w:rPr>
        <w:t> </w:t>
      </w: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>kwietnia 2019 r. o</w:t>
      </w:r>
      <w:r w:rsidR="0015047A" w:rsidRPr="00017747">
        <w:rPr>
          <w:rFonts w:cstheme="minorHAnsi"/>
          <w:color w:val="212529"/>
          <w:sz w:val="23"/>
          <w:szCs w:val="23"/>
          <w:shd w:val="clear" w:color="auto" w:fill="FFFFFF"/>
        </w:rPr>
        <w:t> </w:t>
      </w: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>dostępności cyfrowej stron internetowych i aplikacji mobilnych podmiotów publicznych. Oświadczenie w sprawie dostępności ma zastosowanie do stron internetow</w:t>
      </w:r>
      <w:r w:rsidR="00540F80" w:rsidRPr="00017747">
        <w:rPr>
          <w:rFonts w:cstheme="minorHAnsi"/>
          <w:color w:val="212529"/>
          <w:sz w:val="23"/>
          <w:szCs w:val="23"/>
          <w:shd w:val="clear" w:color="auto" w:fill="FFFFFF"/>
        </w:rPr>
        <w:t>ych.</w:t>
      </w:r>
    </w:p>
    <w:p w14:paraId="2BCB35B5" w14:textId="07B81022" w:rsidR="0038447E" w:rsidRPr="00017747" w:rsidRDefault="0038447E" w:rsidP="00017747">
      <w:pPr>
        <w:pStyle w:val="Akapitzlist"/>
        <w:spacing w:before="120" w:after="0" w:line="360" w:lineRule="auto"/>
        <w:ind w:left="425"/>
        <w:contextualSpacing w:val="0"/>
        <w:jc w:val="both"/>
        <w:rPr>
          <w:rFonts w:cstheme="minorHAnsi"/>
          <w:color w:val="212529"/>
          <w:sz w:val="23"/>
          <w:szCs w:val="23"/>
          <w:shd w:val="clear" w:color="auto" w:fill="FFFFFF"/>
        </w:rPr>
      </w:pP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>Stron</w:t>
      </w:r>
      <w:r w:rsidR="00540F80" w:rsidRPr="00017747">
        <w:rPr>
          <w:rFonts w:cstheme="minorHAnsi"/>
          <w:color w:val="212529"/>
          <w:sz w:val="23"/>
          <w:szCs w:val="23"/>
          <w:shd w:val="clear" w:color="auto" w:fill="FFFFFF"/>
        </w:rPr>
        <w:t>y</w:t>
      </w: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 xml:space="preserve"> internetow</w:t>
      </w:r>
      <w:r w:rsidR="00540F80" w:rsidRPr="00017747">
        <w:rPr>
          <w:rFonts w:cstheme="minorHAnsi"/>
          <w:color w:val="212529"/>
          <w:sz w:val="23"/>
          <w:szCs w:val="23"/>
          <w:shd w:val="clear" w:color="auto" w:fill="FFFFFF"/>
        </w:rPr>
        <w:t>e</w:t>
      </w: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 xml:space="preserve"> </w:t>
      </w:r>
      <w:r w:rsidR="00540F80" w:rsidRPr="00017747">
        <w:rPr>
          <w:rFonts w:cstheme="minorHAnsi"/>
          <w:color w:val="212529"/>
          <w:sz w:val="23"/>
          <w:szCs w:val="23"/>
          <w:shd w:val="clear" w:color="auto" w:fill="FFFFFF"/>
        </w:rPr>
        <w:t>są</w:t>
      </w: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 xml:space="preserve"> częściowo zgodn</w:t>
      </w:r>
      <w:r w:rsidR="00540F80" w:rsidRPr="00017747">
        <w:rPr>
          <w:rFonts w:cstheme="minorHAnsi"/>
          <w:color w:val="212529"/>
          <w:sz w:val="23"/>
          <w:szCs w:val="23"/>
          <w:shd w:val="clear" w:color="auto" w:fill="FFFFFF"/>
        </w:rPr>
        <w:t>e</w:t>
      </w: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 xml:space="preserve"> z ustawą o dostępności cyfrowej stron internetowych i</w:t>
      </w:r>
      <w:r w:rsidR="006F228D" w:rsidRPr="00017747">
        <w:rPr>
          <w:rFonts w:cstheme="minorHAnsi"/>
          <w:color w:val="212529"/>
          <w:sz w:val="23"/>
          <w:szCs w:val="23"/>
          <w:shd w:val="clear" w:color="auto" w:fill="FFFFFF"/>
        </w:rPr>
        <w:t> </w:t>
      </w: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 xml:space="preserve">aplikacji mobilnych podmiotów publicznych z powodu niezgodności lub </w:t>
      </w:r>
      <w:proofErr w:type="spellStart"/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>wył</w:t>
      </w:r>
      <w:r w:rsidR="00917845" w:rsidRPr="00017747">
        <w:rPr>
          <w:rFonts w:cstheme="minorHAnsi"/>
          <w:color w:val="212529"/>
          <w:sz w:val="23"/>
          <w:szCs w:val="23"/>
          <w:shd w:val="clear" w:color="auto" w:fill="FFFFFF"/>
        </w:rPr>
        <w:t>ą</w:t>
      </w: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>czeń</w:t>
      </w:r>
      <w:proofErr w:type="spellEnd"/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 xml:space="preserve"> wymienionych poniżej:</w:t>
      </w:r>
    </w:p>
    <w:p w14:paraId="71DBE195" w14:textId="7A4395B2" w:rsidR="0038447E" w:rsidRPr="00017747" w:rsidRDefault="0038447E" w:rsidP="00017747">
      <w:pPr>
        <w:pStyle w:val="Akapitzlist"/>
        <w:numPr>
          <w:ilvl w:val="0"/>
          <w:numId w:val="19"/>
        </w:numPr>
        <w:spacing w:after="0" w:line="360" w:lineRule="auto"/>
        <w:contextualSpacing w:val="0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Filmy nie posiadają napisów dla osób głuchych i niedosłyszących.</w:t>
      </w:r>
    </w:p>
    <w:p w14:paraId="0DD2B5BE" w14:textId="49171F89" w:rsidR="0038447E" w:rsidRPr="00017747" w:rsidRDefault="0038447E" w:rsidP="00017747">
      <w:pPr>
        <w:pStyle w:val="Akapitzlist"/>
        <w:numPr>
          <w:ilvl w:val="0"/>
          <w:numId w:val="19"/>
        </w:numPr>
        <w:spacing w:after="0" w:line="360" w:lineRule="auto"/>
        <w:contextualSpacing w:val="0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Dokumenty mogą nie mieć dowiązanych etykiet tekstowych.</w:t>
      </w:r>
    </w:p>
    <w:p w14:paraId="1721B626" w14:textId="7ADC272B" w:rsidR="0038447E" w:rsidRPr="00017747" w:rsidRDefault="0038447E" w:rsidP="00017747">
      <w:pPr>
        <w:pStyle w:val="Akapitzlist"/>
        <w:numPr>
          <w:ilvl w:val="0"/>
          <w:numId w:val="19"/>
        </w:numPr>
        <w:spacing w:after="0" w:line="360" w:lineRule="auto"/>
        <w:contextualSpacing w:val="0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lastRenderedPageBreak/>
        <w:t>Część z opublikowanych multimediów oraz zdjęć nie posiada opisu alternatywnego</w:t>
      </w:r>
      <w:r w:rsidR="003E1229" w:rsidRPr="00017747">
        <w:rPr>
          <w:rFonts w:cstheme="minorHAnsi"/>
          <w:sz w:val="23"/>
          <w:szCs w:val="23"/>
        </w:rPr>
        <w:t>, mają one charakter promocyjny lub dekoracyjny i nie są wykorzystywane do realizacji bieżących zadań.</w:t>
      </w:r>
    </w:p>
    <w:p w14:paraId="6AD78E23" w14:textId="2D4C8BAC" w:rsidR="003E1229" w:rsidRPr="00017747" w:rsidRDefault="003E1229" w:rsidP="00017747">
      <w:pPr>
        <w:spacing w:before="120" w:after="0" w:line="360" w:lineRule="auto"/>
        <w:ind w:left="425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Wyłączenia: Ustawy nie stosuje się do następujących elementów stron internetowych i</w:t>
      </w:r>
      <w:r w:rsidR="00362D51" w:rsidRPr="00017747">
        <w:rPr>
          <w:rFonts w:cstheme="minorHAnsi"/>
          <w:sz w:val="23"/>
          <w:szCs w:val="23"/>
        </w:rPr>
        <w:t> </w:t>
      </w:r>
      <w:r w:rsidRPr="00017747">
        <w:rPr>
          <w:rFonts w:cstheme="minorHAnsi"/>
          <w:sz w:val="23"/>
          <w:szCs w:val="23"/>
        </w:rPr>
        <w:t>aplikacji mobilnych:</w:t>
      </w:r>
    </w:p>
    <w:p w14:paraId="4A595023" w14:textId="3FA43690" w:rsidR="003E1229" w:rsidRPr="00017747" w:rsidRDefault="003E1229" w:rsidP="0001774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Multimediów nadawanych na żywo.</w:t>
      </w:r>
    </w:p>
    <w:p w14:paraId="19CE0B2E" w14:textId="6AC68C91" w:rsidR="003E1229" w:rsidRPr="00017747" w:rsidRDefault="003E1229" w:rsidP="0001774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Multimediów opublikowanych przed dniem 23 września 2020</w:t>
      </w:r>
      <w:r w:rsidR="00224F79" w:rsidRPr="00017747">
        <w:rPr>
          <w:rFonts w:cstheme="minorHAnsi"/>
          <w:sz w:val="23"/>
          <w:szCs w:val="23"/>
        </w:rPr>
        <w:t> </w:t>
      </w:r>
      <w:r w:rsidRPr="00017747">
        <w:rPr>
          <w:rFonts w:cstheme="minorHAnsi"/>
          <w:sz w:val="23"/>
          <w:szCs w:val="23"/>
        </w:rPr>
        <w:t>r.</w:t>
      </w:r>
    </w:p>
    <w:p w14:paraId="1D54E402" w14:textId="79A866B4" w:rsidR="003E1229" w:rsidRPr="00017747" w:rsidRDefault="003E1229" w:rsidP="0001774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Dokumentów tekstowych i tekstowo-graficznych, dokumentów utworzonych w</w:t>
      </w:r>
      <w:r w:rsidR="00362D51" w:rsidRPr="00017747">
        <w:rPr>
          <w:rFonts w:cstheme="minorHAnsi"/>
          <w:sz w:val="23"/>
          <w:szCs w:val="23"/>
        </w:rPr>
        <w:t> </w:t>
      </w:r>
      <w:r w:rsidRPr="00017747">
        <w:rPr>
          <w:rFonts w:cstheme="minorHAnsi"/>
          <w:sz w:val="23"/>
          <w:szCs w:val="23"/>
        </w:rPr>
        <w:t>programach przeznaczonych do tworzenia prezentacji lub arkuszy kalkulacyjnych, opublikowanych przed dniem 23 września 2018 r., chyba że ich zawartość jest niezbędna do realizacji bieżących zadań podmiotu publicznego.</w:t>
      </w:r>
    </w:p>
    <w:p w14:paraId="06B3E21C" w14:textId="6F9D20CE" w:rsidR="003E1229" w:rsidRPr="00017747" w:rsidRDefault="003E1229" w:rsidP="0001774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 xml:space="preserve">Map oraz map interaktywnych, w tym </w:t>
      </w:r>
      <w:proofErr w:type="spellStart"/>
      <w:r w:rsidRPr="00017747">
        <w:rPr>
          <w:rFonts w:cstheme="minorHAnsi"/>
          <w:sz w:val="23"/>
          <w:szCs w:val="23"/>
        </w:rPr>
        <w:t>geoportali</w:t>
      </w:r>
      <w:proofErr w:type="spellEnd"/>
      <w:r w:rsidRPr="00017747">
        <w:rPr>
          <w:rFonts w:cstheme="minorHAnsi"/>
          <w:sz w:val="23"/>
          <w:szCs w:val="23"/>
        </w:rPr>
        <w:t xml:space="preserve">, pod warunkiem, że w przypadku map interaktywnych i </w:t>
      </w:r>
      <w:proofErr w:type="spellStart"/>
      <w:r w:rsidRPr="00017747">
        <w:rPr>
          <w:rFonts w:cstheme="minorHAnsi"/>
          <w:sz w:val="23"/>
          <w:szCs w:val="23"/>
        </w:rPr>
        <w:t>geoportali</w:t>
      </w:r>
      <w:proofErr w:type="spellEnd"/>
      <w:r w:rsidRPr="00017747">
        <w:rPr>
          <w:rFonts w:cstheme="minorHAnsi"/>
          <w:sz w:val="23"/>
          <w:szCs w:val="23"/>
        </w:rPr>
        <w:t xml:space="preserve"> przeznaczonych do zastosowań nawigacyjnych dane teleadresowe i położenie geograficzne prezentowane są w</w:t>
      </w:r>
      <w:r w:rsidR="004D7311" w:rsidRPr="00017747">
        <w:rPr>
          <w:rFonts w:cstheme="minorHAnsi"/>
          <w:sz w:val="23"/>
          <w:szCs w:val="23"/>
        </w:rPr>
        <w:t> </w:t>
      </w:r>
      <w:r w:rsidRPr="00017747">
        <w:rPr>
          <w:rFonts w:cstheme="minorHAnsi"/>
          <w:sz w:val="23"/>
          <w:szCs w:val="23"/>
        </w:rPr>
        <w:t>sposób dostępny cyfrowo.</w:t>
      </w:r>
    </w:p>
    <w:p w14:paraId="366A4556" w14:textId="42E6D255" w:rsidR="003E1229" w:rsidRPr="00017747" w:rsidRDefault="003E1229" w:rsidP="0001774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Treści będących w posiadaniu podmiotu publicznego</w:t>
      </w:r>
      <w:r w:rsidR="005452C1">
        <w:rPr>
          <w:rFonts w:cstheme="minorHAnsi"/>
          <w:sz w:val="23"/>
          <w:szCs w:val="23"/>
        </w:rPr>
        <w:t>:</w:t>
      </w:r>
    </w:p>
    <w:p w14:paraId="67FD90A9" w14:textId="7F75AB04" w:rsidR="003E1229" w:rsidRPr="00017747" w:rsidRDefault="003E1229" w:rsidP="0001774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które nie zostały przez niego lub na jego rzecz wytworzone albo przez niego nabyte</w:t>
      </w:r>
      <w:r w:rsidR="00484ED2" w:rsidRPr="00017747">
        <w:rPr>
          <w:rFonts w:cstheme="minorHAnsi"/>
          <w:sz w:val="23"/>
          <w:szCs w:val="23"/>
        </w:rPr>
        <w:t>;</w:t>
      </w:r>
    </w:p>
    <w:p w14:paraId="602EAF96" w14:textId="3C88043C" w:rsidR="00484ED2" w:rsidRPr="00017747" w:rsidRDefault="00484ED2" w:rsidP="0001774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których dostosowanie do wymagań dostępności cyfrowej wymaga modyfikacji, do której ten podmiot publiczny nie jest uprawniony.</w:t>
      </w:r>
    </w:p>
    <w:p w14:paraId="6DD88DA6" w14:textId="7678FC00" w:rsidR="003E1229" w:rsidRPr="00017747" w:rsidRDefault="00484ED2" w:rsidP="0001774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 xml:space="preserve">Treści prezentowanych w </w:t>
      </w:r>
      <w:r w:rsidR="005452C1">
        <w:rPr>
          <w:rFonts w:cstheme="minorHAnsi"/>
          <w:sz w:val="23"/>
          <w:szCs w:val="23"/>
        </w:rPr>
        <w:t>I</w:t>
      </w:r>
      <w:r w:rsidRPr="00017747">
        <w:rPr>
          <w:rFonts w:cstheme="minorHAnsi"/>
          <w:sz w:val="23"/>
          <w:szCs w:val="23"/>
        </w:rPr>
        <w:t xml:space="preserve">ntranecie lub </w:t>
      </w:r>
      <w:r w:rsidR="005452C1">
        <w:rPr>
          <w:rFonts w:cstheme="minorHAnsi"/>
          <w:sz w:val="23"/>
          <w:szCs w:val="23"/>
        </w:rPr>
        <w:t>E</w:t>
      </w:r>
      <w:r w:rsidRPr="00017747">
        <w:rPr>
          <w:rFonts w:cstheme="minorHAnsi"/>
          <w:sz w:val="23"/>
          <w:szCs w:val="23"/>
        </w:rPr>
        <w:t>kstran</w:t>
      </w:r>
      <w:r w:rsidR="005452C1">
        <w:rPr>
          <w:rFonts w:cstheme="minorHAnsi"/>
          <w:sz w:val="23"/>
          <w:szCs w:val="23"/>
        </w:rPr>
        <w:t>e</w:t>
      </w:r>
      <w:r w:rsidRPr="00017747">
        <w:rPr>
          <w:rFonts w:cstheme="minorHAnsi"/>
          <w:sz w:val="23"/>
          <w:szCs w:val="23"/>
        </w:rPr>
        <w:t>cie</w:t>
      </w:r>
    </w:p>
    <w:p w14:paraId="3D35BD3F" w14:textId="6D4B45FC" w:rsidR="0045150E" w:rsidRPr="00017747" w:rsidRDefault="0045150E" w:rsidP="00017747">
      <w:pPr>
        <w:pStyle w:val="Akapitzlist"/>
        <w:spacing w:before="120" w:after="0" w:line="360" w:lineRule="auto"/>
        <w:ind w:left="425"/>
        <w:contextualSpacing w:val="0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Stron</w:t>
      </w:r>
      <w:r w:rsidR="004C4BEF" w:rsidRPr="00017747">
        <w:rPr>
          <w:rFonts w:cstheme="minorHAnsi"/>
          <w:sz w:val="23"/>
          <w:szCs w:val="23"/>
        </w:rPr>
        <w:t>y</w:t>
      </w:r>
      <w:r w:rsidRPr="00017747">
        <w:rPr>
          <w:rFonts w:cstheme="minorHAnsi"/>
          <w:sz w:val="23"/>
          <w:szCs w:val="23"/>
        </w:rPr>
        <w:t xml:space="preserve"> posiada</w:t>
      </w:r>
      <w:r w:rsidR="004C4BEF" w:rsidRPr="00017747">
        <w:rPr>
          <w:rFonts w:cstheme="minorHAnsi"/>
          <w:sz w:val="23"/>
          <w:szCs w:val="23"/>
        </w:rPr>
        <w:t xml:space="preserve">ją </w:t>
      </w:r>
      <w:r w:rsidRPr="00017747">
        <w:rPr>
          <w:rFonts w:cstheme="minorHAnsi"/>
          <w:sz w:val="23"/>
          <w:szCs w:val="23"/>
        </w:rPr>
        <w:t>następujące ułatwienia dla osób z niepełnosprawnościami:</w:t>
      </w:r>
    </w:p>
    <w:p w14:paraId="73239328" w14:textId="04AD7615" w:rsidR="0045150E" w:rsidRPr="00017747" w:rsidRDefault="0045150E" w:rsidP="0001774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 xml:space="preserve">Zdalny </w:t>
      </w:r>
      <w:r w:rsidR="007A0DBC" w:rsidRPr="00017747">
        <w:rPr>
          <w:rFonts w:cstheme="minorHAnsi"/>
          <w:sz w:val="23"/>
          <w:szCs w:val="23"/>
        </w:rPr>
        <w:t>dostęp do tłumacza języka migowego.</w:t>
      </w:r>
    </w:p>
    <w:p w14:paraId="0D97B948" w14:textId="0C061B17" w:rsidR="007A0DBC" w:rsidRPr="00017747" w:rsidRDefault="007A0DBC" w:rsidP="0001774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Obsługuje standardowe skróty klawiszowe, wbudowane w przeglądarki internetowe</w:t>
      </w:r>
      <w:r w:rsidR="00513FAD" w:rsidRPr="00017747">
        <w:rPr>
          <w:rFonts w:cstheme="minorHAnsi"/>
          <w:sz w:val="23"/>
          <w:szCs w:val="23"/>
        </w:rPr>
        <w:t>:</w:t>
      </w:r>
    </w:p>
    <w:p w14:paraId="6149EE9C" w14:textId="1326581A" w:rsidR="00513FAD" w:rsidRPr="00017747" w:rsidRDefault="00513FAD" w:rsidP="0001774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TAB – przejście do kolejnego elementu</w:t>
      </w:r>
    </w:p>
    <w:p w14:paraId="410E8648" w14:textId="4E4C32D9" w:rsidR="00513FAD" w:rsidRPr="00017747" w:rsidRDefault="00513FAD" w:rsidP="0001774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TAB oraz SHIFT – przejście do poprzedniego elementu</w:t>
      </w:r>
    </w:p>
    <w:p w14:paraId="5C477D0E" w14:textId="6F0B864F" w:rsidR="00513FAD" w:rsidRPr="00017747" w:rsidRDefault="00513FAD" w:rsidP="0001774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CTRL oraz F – wyszukiwanie</w:t>
      </w:r>
    </w:p>
    <w:p w14:paraId="46F9FE3A" w14:textId="450FCBBC" w:rsidR="00513FAD" w:rsidRPr="00017747" w:rsidRDefault="00513FAD" w:rsidP="0001774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CTRL oraz „+” – powiększenie treści strony internetowej</w:t>
      </w:r>
    </w:p>
    <w:p w14:paraId="0A07D732" w14:textId="7ADF4D86" w:rsidR="00513FAD" w:rsidRPr="00017747" w:rsidRDefault="00513FAD" w:rsidP="0001774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CTRL oraz „</w:t>
      </w:r>
      <w:proofErr w:type="gramStart"/>
      <w:r w:rsidRPr="00017747">
        <w:rPr>
          <w:rFonts w:cstheme="minorHAnsi"/>
          <w:sz w:val="23"/>
          <w:szCs w:val="23"/>
        </w:rPr>
        <w:t>-„ –</w:t>
      </w:r>
      <w:proofErr w:type="gramEnd"/>
      <w:r w:rsidRPr="00017747">
        <w:rPr>
          <w:rFonts w:cstheme="minorHAnsi"/>
          <w:sz w:val="23"/>
          <w:szCs w:val="23"/>
        </w:rPr>
        <w:t xml:space="preserve"> pomniejszenie treści strony internetowej</w:t>
      </w:r>
    </w:p>
    <w:p w14:paraId="63ADFBF9" w14:textId="28DFCC21" w:rsidR="00513FAD" w:rsidRPr="00017747" w:rsidRDefault="00513FAD" w:rsidP="0001774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sz w:val="23"/>
          <w:szCs w:val="23"/>
        </w:rPr>
        <w:t>CTRL oraz 0 – powrót do standardowego rozmiaru strony internetowej</w:t>
      </w:r>
    </w:p>
    <w:p w14:paraId="7309BD01" w14:textId="14F63D09" w:rsidR="002A0350" w:rsidRPr="00017747" w:rsidRDefault="002A0350" w:rsidP="00017747">
      <w:pPr>
        <w:pStyle w:val="Akapitzlist"/>
        <w:numPr>
          <w:ilvl w:val="0"/>
          <w:numId w:val="13"/>
        </w:numPr>
        <w:spacing w:before="240" w:after="0" w:line="360" w:lineRule="auto"/>
        <w:ind w:left="425" w:hanging="425"/>
        <w:contextualSpacing w:val="0"/>
        <w:jc w:val="both"/>
        <w:rPr>
          <w:rFonts w:cstheme="minorHAnsi"/>
          <w:sz w:val="23"/>
          <w:szCs w:val="23"/>
          <w:u w:val="single"/>
        </w:rPr>
      </w:pPr>
      <w:r w:rsidRPr="00017747">
        <w:rPr>
          <w:rFonts w:cstheme="minorHAnsi"/>
          <w:sz w:val="23"/>
          <w:szCs w:val="23"/>
          <w:u w:val="single"/>
        </w:rPr>
        <w:t>Dostępność informacyjno-komunikacyjna</w:t>
      </w:r>
    </w:p>
    <w:p w14:paraId="3D02A8EE" w14:textId="17326D89" w:rsidR="00D42964" w:rsidRPr="00017747" w:rsidRDefault="007A0DBC" w:rsidP="00017747">
      <w:pPr>
        <w:pStyle w:val="Akapitzlist"/>
        <w:spacing w:after="0" w:line="360" w:lineRule="auto"/>
        <w:ind w:left="426"/>
        <w:jc w:val="both"/>
        <w:rPr>
          <w:rFonts w:cstheme="minorHAnsi"/>
          <w:sz w:val="23"/>
          <w:szCs w:val="23"/>
        </w:rPr>
      </w:pP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>Starostwo Powiatowe w Pułtusku realizując zapisy ustawy z dnia 19 lipca 2019 r. o</w:t>
      </w:r>
      <w:r w:rsidR="00362D51" w:rsidRPr="00017747">
        <w:rPr>
          <w:rFonts w:cstheme="minorHAnsi"/>
          <w:color w:val="212529"/>
          <w:sz w:val="23"/>
          <w:szCs w:val="23"/>
          <w:shd w:val="clear" w:color="auto" w:fill="FFFFFF"/>
        </w:rPr>
        <w:t> </w:t>
      </w: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>zapewni</w:t>
      </w:r>
      <w:r w:rsidR="006F228D" w:rsidRPr="00017747">
        <w:rPr>
          <w:rFonts w:cstheme="minorHAnsi"/>
          <w:color w:val="212529"/>
          <w:sz w:val="23"/>
          <w:szCs w:val="23"/>
          <w:shd w:val="clear" w:color="auto" w:fill="FFFFFF"/>
        </w:rPr>
        <w:t>a</w:t>
      </w: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>niu dostępności osobom ze szczególnymi potrzebami oraz ustawy z</w:t>
      </w:r>
      <w:r w:rsidR="0015047A" w:rsidRPr="00017747">
        <w:rPr>
          <w:rFonts w:cstheme="minorHAnsi"/>
          <w:color w:val="212529"/>
          <w:sz w:val="23"/>
          <w:szCs w:val="23"/>
          <w:shd w:val="clear" w:color="auto" w:fill="FFFFFF"/>
        </w:rPr>
        <w:t> </w:t>
      </w: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>dnia 19</w:t>
      </w:r>
      <w:r w:rsidR="001C308F" w:rsidRPr="00017747">
        <w:rPr>
          <w:rFonts w:cstheme="minorHAnsi"/>
          <w:color w:val="212529"/>
          <w:sz w:val="23"/>
          <w:szCs w:val="23"/>
          <w:shd w:val="clear" w:color="auto" w:fill="FFFFFF"/>
        </w:rPr>
        <w:t> </w:t>
      </w: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>sierpnia 2011</w:t>
      </w:r>
      <w:r w:rsidR="001C308F" w:rsidRPr="00017747">
        <w:rPr>
          <w:rFonts w:cstheme="minorHAnsi"/>
          <w:color w:val="212529"/>
          <w:sz w:val="23"/>
          <w:szCs w:val="23"/>
          <w:shd w:val="clear" w:color="auto" w:fill="FFFFFF"/>
        </w:rPr>
        <w:t> </w:t>
      </w: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 xml:space="preserve">r. o języku migowym i innych środkach komunikowania się, umożliwia </w:t>
      </w: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lastRenderedPageBreak/>
        <w:t xml:space="preserve">osobom głuchym lub słabosłyszącym korzystanie z pomocy tłumacza języka migowego online </w:t>
      </w:r>
      <w:r w:rsidR="00D42964" w:rsidRPr="00017747">
        <w:rPr>
          <w:rFonts w:cstheme="minorHAnsi"/>
          <w:color w:val="212529"/>
          <w:sz w:val="23"/>
          <w:szCs w:val="23"/>
          <w:shd w:val="clear" w:color="auto" w:fill="FFFFFF"/>
        </w:rPr>
        <w:t>–</w:t>
      </w: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 xml:space="preserve"> odpowiedni link znajduje się na stronie internetowej Starostwa Powiatowego w</w:t>
      </w:r>
      <w:r w:rsidR="001C308F" w:rsidRPr="00017747">
        <w:rPr>
          <w:rFonts w:cstheme="minorHAnsi"/>
          <w:color w:val="212529"/>
          <w:sz w:val="23"/>
          <w:szCs w:val="23"/>
          <w:shd w:val="clear" w:color="auto" w:fill="FFFFFF"/>
        </w:rPr>
        <w:t> </w:t>
      </w: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>Pułtusku, a także ze specjalnego stanowiska w</w:t>
      </w:r>
      <w:r w:rsidR="0015047A" w:rsidRPr="00017747">
        <w:rPr>
          <w:rFonts w:cstheme="minorHAnsi"/>
          <w:color w:val="212529"/>
          <w:sz w:val="23"/>
          <w:szCs w:val="23"/>
          <w:shd w:val="clear" w:color="auto" w:fill="FFFFFF"/>
        </w:rPr>
        <w:t> </w:t>
      </w: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>Kancelarii urzędu, wyposażonego w tablet z dostępem do tłumacza języka migowego online. Skorzystanie z usług jest bezpłatne i nie wymaga wcześniejszego umawiania się na wizytę.</w:t>
      </w:r>
      <w:r w:rsidR="006F228D" w:rsidRPr="00017747">
        <w:rPr>
          <w:rFonts w:cstheme="minorHAnsi"/>
          <w:color w:val="212529"/>
          <w:sz w:val="23"/>
          <w:szCs w:val="23"/>
          <w:shd w:val="clear" w:color="auto" w:fill="FFFFFF"/>
        </w:rPr>
        <w:t xml:space="preserve"> </w:t>
      </w:r>
      <w:r w:rsidR="0015047A" w:rsidRPr="00017747">
        <w:rPr>
          <w:rFonts w:cstheme="minorHAnsi"/>
          <w:color w:val="212529"/>
          <w:sz w:val="23"/>
          <w:szCs w:val="23"/>
          <w:shd w:val="clear" w:color="auto" w:fill="FFFFFF"/>
        </w:rPr>
        <w:t xml:space="preserve">W </w:t>
      </w:r>
      <w:r w:rsidR="006F228D" w:rsidRPr="00017747">
        <w:rPr>
          <w:rFonts w:cstheme="minorHAnsi"/>
          <w:sz w:val="23"/>
          <w:szCs w:val="23"/>
        </w:rPr>
        <w:t>kancelarii znajduje się również przenośna pętla indukcyjna.</w:t>
      </w:r>
    </w:p>
    <w:p w14:paraId="29C50E60" w14:textId="6D792DE5" w:rsidR="00210B9F" w:rsidRPr="00017747" w:rsidRDefault="00210B9F" w:rsidP="00017747">
      <w:pPr>
        <w:pStyle w:val="Akapitzlist"/>
        <w:spacing w:after="0" w:line="360" w:lineRule="auto"/>
        <w:ind w:left="426"/>
        <w:jc w:val="both"/>
        <w:rPr>
          <w:rFonts w:cstheme="minorHAnsi"/>
          <w:color w:val="212529"/>
          <w:sz w:val="23"/>
          <w:szCs w:val="23"/>
          <w:shd w:val="clear" w:color="auto" w:fill="FFFFFF"/>
        </w:rPr>
      </w:pP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 xml:space="preserve">Na stronie internetowej Starostwa Powiatowego w Pułtusku znajduje się informacja o zakresie działalności </w:t>
      </w:r>
      <w:r w:rsidR="00D709DE">
        <w:rPr>
          <w:rFonts w:cstheme="minorHAnsi"/>
          <w:color w:val="212529"/>
          <w:sz w:val="23"/>
          <w:szCs w:val="23"/>
          <w:shd w:val="clear" w:color="auto" w:fill="FFFFFF"/>
        </w:rPr>
        <w:t xml:space="preserve">Urzędu </w:t>
      </w: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>w postaci elektronicznego pliku zawierającego tekst odczytywalny maszynowo, w tekście łatwym do czytania oraz film w języku migowym o dostępności Urzędu dla osób głuchych.</w:t>
      </w:r>
    </w:p>
    <w:p w14:paraId="58815880" w14:textId="661366C2" w:rsidR="00F41F84" w:rsidRPr="00017747" w:rsidRDefault="00F41F84" w:rsidP="00017747">
      <w:pPr>
        <w:pStyle w:val="Akapitzlist"/>
        <w:spacing w:after="0" w:line="360" w:lineRule="auto"/>
        <w:ind w:left="426"/>
        <w:jc w:val="both"/>
        <w:rPr>
          <w:rFonts w:cstheme="minorHAnsi"/>
          <w:color w:val="212529"/>
          <w:sz w:val="23"/>
          <w:szCs w:val="23"/>
          <w:shd w:val="clear" w:color="auto" w:fill="FFFFFF"/>
        </w:rPr>
      </w:pPr>
      <w:r w:rsidRPr="00017747">
        <w:rPr>
          <w:rFonts w:cstheme="minorHAnsi"/>
          <w:color w:val="212529"/>
          <w:sz w:val="23"/>
          <w:szCs w:val="23"/>
          <w:shd w:val="clear" w:color="auto" w:fill="FFFFFF"/>
        </w:rPr>
        <w:t>Procedura obsługi osób ze szczególnymi potrzebami w Starostwie Powiatowym w Pułtusku została wprowadzona zarządzeniem Nr 35/2022 Starosty Pułtuskiego z dnia 10 sierpnia 2022 r.</w:t>
      </w:r>
    </w:p>
    <w:p w14:paraId="217022BE" w14:textId="77777777" w:rsidR="00F41F84" w:rsidRPr="00017747" w:rsidRDefault="00F41F84" w:rsidP="00017747">
      <w:pPr>
        <w:pStyle w:val="Akapitzlist"/>
        <w:spacing w:after="0" w:line="360" w:lineRule="auto"/>
        <w:ind w:left="426"/>
        <w:jc w:val="both"/>
        <w:rPr>
          <w:rFonts w:cstheme="minorHAnsi"/>
          <w:color w:val="212529"/>
          <w:sz w:val="23"/>
          <w:szCs w:val="23"/>
          <w:shd w:val="clear" w:color="auto" w:fill="FFFFFF"/>
        </w:rPr>
      </w:pPr>
    </w:p>
    <w:p w14:paraId="38A69425" w14:textId="101DB726" w:rsidR="00790EBF" w:rsidRPr="00017747" w:rsidRDefault="0005618A" w:rsidP="00017747">
      <w:pPr>
        <w:spacing w:after="0" w:line="360" w:lineRule="auto"/>
        <w:jc w:val="both"/>
        <w:rPr>
          <w:rFonts w:cstheme="minorHAnsi"/>
          <w:b/>
          <w:bCs/>
          <w:sz w:val="23"/>
          <w:szCs w:val="23"/>
        </w:rPr>
      </w:pPr>
      <w:r w:rsidRPr="00017747">
        <w:rPr>
          <w:rFonts w:cstheme="minorHAnsi"/>
          <w:b/>
          <w:bCs/>
          <w:sz w:val="23"/>
          <w:szCs w:val="23"/>
        </w:rPr>
        <w:t>Planowane działania w zakresie poprawy realizacji zadań dot. dostępności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4"/>
        <w:gridCol w:w="2835"/>
        <w:gridCol w:w="3827"/>
        <w:gridCol w:w="1985"/>
      </w:tblGrid>
      <w:tr w:rsidR="007B1EC9" w:rsidRPr="00017747" w14:paraId="2FE7DD38" w14:textId="77777777" w:rsidTr="007B1EC9">
        <w:tc>
          <w:tcPr>
            <w:tcW w:w="704" w:type="dxa"/>
            <w:vAlign w:val="center"/>
          </w:tcPr>
          <w:p w14:paraId="5EC59EDE" w14:textId="10CFA2C7" w:rsidR="00A67691" w:rsidRPr="00017747" w:rsidRDefault="00A67691" w:rsidP="00017747">
            <w:pPr>
              <w:spacing w:before="120" w:after="120" w:line="360" w:lineRule="auto"/>
              <w:rPr>
                <w:rFonts w:cstheme="minorHAnsi"/>
                <w:b/>
                <w:bCs/>
              </w:rPr>
            </w:pPr>
            <w:r w:rsidRPr="00017747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835" w:type="dxa"/>
            <w:vAlign w:val="center"/>
          </w:tcPr>
          <w:p w14:paraId="5E6C80E4" w14:textId="35F9A902" w:rsidR="00A67691" w:rsidRPr="00017747" w:rsidRDefault="00A67691" w:rsidP="00017747">
            <w:pPr>
              <w:spacing w:before="120" w:after="120" w:line="360" w:lineRule="auto"/>
              <w:rPr>
                <w:rFonts w:cstheme="minorHAnsi"/>
                <w:b/>
                <w:bCs/>
              </w:rPr>
            </w:pPr>
            <w:r w:rsidRPr="00017747">
              <w:rPr>
                <w:rFonts w:cstheme="minorHAnsi"/>
                <w:b/>
                <w:bCs/>
              </w:rPr>
              <w:t>Wymagania</w:t>
            </w:r>
          </w:p>
        </w:tc>
        <w:tc>
          <w:tcPr>
            <w:tcW w:w="3827" w:type="dxa"/>
            <w:vAlign w:val="center"/>
          </w:tcPr>
          <w:p w14:paraId="0399874B" w14:textId="45B52DDB" w:rsidR="00A67691" w:rsidRPr="00017747" w:rsidRDefault="00A67691" w:rsidP="00017747">
            <w:pPr>
              <w:spacing w:before="120" w:after="120" w:line="360" w:lineRule="auto"/>
              <w:rPr>
                <w:rFonts w:cstheme="minorHAnsi"/>
                <w:b/>
                <w:bCs/>
              </w:rPr>
            </w:pPr>
            <w:r w:rsidRPr="00017747">
              <w:rPr>
                <w:rFonts w:cstheme="minorHAnsi"/>
                <w:b/>
                <w:bCs/>
              </w:rPr>
              <w:t xml:space="preserve">Sposób realizacji </w:t>
            </w:r>
          </w:p>
        </w:tc>
        <w:tc>
          <w:tcPr>
            <w:tcW w:w="1985" w:type="dxa"/>
            <w:vAlign w:val="center"/>
          </w:tcPr>
          <w:p w14:paraId="33E80145" w14:textId="49DE40BF" w:rsidR="00A67691" w:rsidRPr="00017747" w:rsidRDefault="00A67691" w:rsidP="00017747">
            <w:pPr>
              <w:spacing w:before="120" w:after="120" w:line="360" w:lineRule="auto"/>
              <w:rPr>
                <w:rFonts w:cstheme="minorHAnsi"/>
                <w:b/>
                <w:bCs/>
              </w:rPr>
            </w:pPr>
            <w:r w:rsidRPr="00017747">
              <w:rPr>
                <w:rFonts w:cstheme="minorHAnsi"/>
                <w:b/>
                <w:bCs/>
              </w:rPr>
              <w:t xml:space="preserve">Przewidywany </w:t>
            </w:r>
            <w:r w:rsidR="00857993" w:rsidRPr="00017747">
              <w:rPr>
                <w:rFonts w:cstheme="minorHAnsi"/>
                <w:b/>
                <w:bCs/>
              </w:rPr>
              <w:t xml:space="preserve">termin </w:t>
            </w:r>
            <w:r w:rsidRPr="00017747">
              <w:rPr>
                <w:rFonts w:cstheme="minorHAnsi"/>
                <w:b/>
                <w:bCs/>
              </w:rPr>
              <w:t>realizacji</w:t>
            </w:r>
            <w:r w:rsidR="0060316A" w:rsidRPr="00017747">
              <w:rPr>
                <w:rFonts w:cstheme="minorHAnsi"/>
                <w:b/>
                <w:bCs/>
              </w:rPr>
              <w:t>*</w:t>
            </w:r>
          </w:p>
        </w:tc>
      </w:tr>
      <w:tr w:rsidR="00857993" w:rsidRPr="00017747" w14:paraId="25A1FD2C" w14:textId="77777777" w:rsidTr="007B1EC9">
        <w:tc>
          <w:tcPr>
            <w:tcW w:w="9351" w:type="dxa"/>
            <w:gridSpan w:val="4"/>
            <w:vAlign w:val="center"/>
          </w:tcPr>
          <w:p w14:paraId="28823117" w14:textId="20F794C5" w:rsidR="00857993" w:rsidRPr="00017747" w:rsidRDefault="00857993" w:rsidP="00017747">
            <w:pPr>
              <w:spacing w:before="120" w:after="120" w:line="360" w:lineRule="auto"/>
              <w:rPr>
                <w:rFonts w:cstheme="minorHAnsi"/>
                <w:u w:val="single"/>
              </w:rPr>
            </w:pPr>
            <w:r w:rsidRPr="00017747">
              <w:rPr>
                <w:rFonts w:cstheme="minorHAnsi"/>
                <w:u w:val="single"/>
              </w:rPr>
              <w:t>W zakresie dostępności architektonicznej</w:t>
            </w:r>
          </w:p>
        </w:tc>
      </w:tr>
      <w:tr w:rsidR="009465B6" w:rsidRPr="00017747" w14:paraId="2BDD883A" w14:textId="77777777" w:rsidTr="00577A04">
        <w:trPr>
          <w:trHeight w:val="2254"/>
        </w:trPr>
        <w:tc>
          <w:tcPr>
            <w:tcW w:w="704" w:type="dxa"/>
            <w:vAlign w:val="center"/>
          </w:tcPr>
          <w:p w14:paraId="2DC2EB4F" w14:textId="77777777" w:rsidR="009465B6" w:rsidRPr="00017747" w:rsidRDefault="009465B6" w:rsidP="00017747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ind w:left="454"/>
              <w:contextualSpacing w:val="0"/>
              <w:rPr>
                <w:rFonts w:cstheme="minorHAnsi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9C9FD68" w14:textId="604A4106" w:rsidR="009465B6" w:rsidRPr="00017747" w:rsidRDefault="009465B6" w:rsidP="00017747">
            <w:pPr>
              <w:spacing w:before="120" w:after="120" w:line="360" w:lineRule="auto"/>
              <w:rPr>
                <w:rFonts w:cstheme="minorHAnsi"/>
              </w:rPr>
            </w:pPr>
            <w:r w:rsidRPr="00017747">
              <w:rPr>
                <w:rFonts w:cstheme="minorHAnsi"/>
              </w:rPr>
              <w:t>Zapewnienie wolnych od barier poziomych i pionowych przestrzeni komunikacyjnych budynku</w:t>
            </w:r>
          </w:p>
        </w:tc>
        <w:tc>
          <w:tcPr>
            <w:tcW w:w="3827" w:type="dxa"/>
            <w:vAlign w:val="center"/>
          </w:tcPr>
          <w:p w14:paraId="450B521A" w14:textId="2979FBFB" w:rsidR="009465B6" w:rsidRPr="00017747" w:rsidRDefault="0049374C" w:rsidP="00017747">
            <w:pPr>
              <w:spacing w:before="120" w:after="120" w:line="360" w:lineRule="auto"/>
              <w:rPr>
                <w:rFonts w:cstheme="minorHAnsi"/>
              </w:rPr>
            </w:pPr>
            <w:r w:rsidRPr="00017747">
              <w:rPr>
                <w:rFonts w:cstheme="minorHAnsi"/>
              </w:rPr>
              <w:t>Z</w:t>
            </w:r>
            <w:r w:rsidR="009465B6" w:rsidRPr="00017747">
              <w:rPr>
                <w:rFonts w:cstheme="minorHAnsi"/>
              </w:rPr>
              <w:t>nakowanie schodów wewnętrznych poprzez zastosowanie taśmy w kontrastowych kolorach na krawędziach pierwszego i ostatniego stopnia każdego biegu</w:t>
            </w:r>
          </w:p>
        </w:tc>
        <w:tc>
          <w:tcPr>
            <w:tcW w:w="1985" w:type="dxa"/>
            <w:vAlign w:val="center"/>
          </w:tcPr>
          <w:p w14:paraId="5E5988AF" w14:textId="63B2D746" w:rsidR="009465B6" w:rsidRPr="00017747" w:rsidRDefault="0049374C" w:rsidP="00017747">
            <w:pPr>
              <w:spacing w:before="120" w:after="120" w:line="360" w:lineRule="auto"/>
              <w:rPr>
                <w:rFonts w:cstheme="minorHAnsi"/>
              </w:rPr>
            </w:pPr>
            <w:r w:rsidRPr="00017747">
              <w:rPr>
                <w:rFonts w:cstheme="minorHAnsi"/>
              </w:rPr>
              <w:t>uzupełnienie</w:t>
            </w:r>
            <w:r w:rsidR="009465B6" w:rsidRPr="00017747">
              <w:rPr>
                <w:rFonts w:cstheme="minorHAnsi"/>
              </w:rPr>
              <w:t xml:space="preserve"> w przypadku </w:t>
            </w:r>
            <w:r w:rsidRPr="00017747">
              <w:rPr>
                <w:rFonts w:cstheme="minorHAnsi"/>
              </w:rPr>
              <w:t>uszkodzenia</w:t>
            </w:r>
            <w:r w:rsidR="00210B9F" w:rsidRPr="00017747">
              <w:rPr>
                <w:rFonts w:cstheme="minorHAnsi"/>
              </w:rPr>
              <w:t xml:space="preserve"> lub zużycia</w:t>
            </w:r>
            <w:r w:rsidRPr="00017747">
              <w:rPr>
                <w:rFonts w:cstheme="minorHAnsi"/>
              </w:rPr>
              <w:t>*</w:t>
            </w:r>
          </w:p>
        </w:tc>
      </w:tr>
      <w:tr w:rsidR="0005522A" w:rsidRPr="00017747" w14:paraId="5A76E12E" w14:textId="77777777" w:rsidTr="007B1EC9">
        <w:tc>
          <w:tcPr>
            <w:tcW w:w="704" w:type="dxa"/>
            <w:vAlign w:val="center"/>
          </w:tcPr>
          <w:p w14:paraId="68BEA5D1" w14:textId="77777777" w:rsidR="0005522A" w:rsidRPr="00017747" w:rsidRDefault="0005522A" w:rsidP="00017747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ind w:left="454"/>
              <w:contextualSpacing w:val="0"/>
              <w:rPr>
                <w:rFonts w:cstheme="minorHAnsi"/>
              </w:rPr>
            </w:pPr>
          </w:p>
        </w:tc>
        <w:tc>
          <w:tcPr>
            <w:tcW w:w="2835" w:type="dxa"/>
            <w:vMerge/>
            <w:vAlign w:val="center"/>
          </w:tcPr>
          <w:p w14:paraId="74EC1EEF" w14:textId="77777777" w:rsidR="0005522A" w:rsidRPr="00017747" w:rsidRDefault="0005522A" w:rsidP="00017747">
            <w:pPr>
              <w:spacing w:before="120" w:after="120" w:line="360" w:lineRule="auto"/>
              <w:rPr>
                <w:rFonts w:cstheme="minorHAnsi"/>
              </w:rPr>
            </w:pPr>
          </w:p>
        </w:tc>
        <w:tc>
          <w:tcPr>
            <w:tcW w:w="3827" w:type="dxa"/>
            <w:vAlign w:val="center"/>
          </w:tcPr>
          <w:p w14:paraId="216BB920" w14:textId="005E780D" w:rsidR="0005522A" w:rsidRPr="00017747" w:rsidRDefault="004A68AF" w:rsidP="00017747">
            <w:pPr>
              <w:spacing w:before="120" w:after="120" w:line="360" w:lineRule="auto"/>
              <w:rPr>
                <w:rFonts w:cstheme="minorHAnsi"/>
              </w:rPr>
            </w:pPr>
            <w:r w:rsidRPr="00017747">
              <w:rPr>
                <w:rFonts w:cstheme="minorHAnsi"/>
              </w:rPr>
              <w:t>Przystosowanie jednego wejścia do budynku dla osób na wózkach</w:t>
            </w:r>
            <w:r w:rsidR="009465B6" w:rsidRPr="00017747">
              <w:rPr>
                <w:rFonts w:cstheme="minorHAnsi"/>
              </w:rPr>
              <w:t>, opiekunów z dziećmi na wózkach, osób z laskami lub o kulach i in. mających problemy z otwieraniem drzwi</w:t>
            </w:r>
            <w:r w:rsidRPr="00017747">
              <w:rPr>
                <w:rFonts w:cstheme="minorHAnsi"/>
              </w:rPr>
              <w:t xml:space="preserve"> poprzez </w:t>
            </w:r>
            <w:r w:rsidR="00F41F84" w:rsidRPr="00017747">
              <w:rPr>
                <w:rFonts w:cstheme="minorHAnsi"/>
              </w:rPr>
              <w:t>zakup i montaż drzwi rozwieranych automatycznie lub inne alternatywne rozwiązanie</w:t>
            </w:r>
          </w:p>
        </w:tc>
        <w:tc>
          <w:tcPr>
            <w:tcW w:w="1985" w:type="dxa"/>
            <w:vAlign w:val="center"/>
          </w:tcPr>
          <w:p w14:paraId="3CA9D5AB" w14:textId="6BF7C70E" w:rsidR="0005522A" w:rsidRPr="00017747" w:rsidRDefault="00F41F84" w:rsidP="00017747">
            <w:pPr>
              <w:spacing w:before="120" w:after="120" w:line="360" w:lineRule="auto"/>
              <w:rPr>
                <w:rFonts w:cstheme="minorHAnsi"/>
              </w:rPr>
            </w:pPr>
            <w:r w:rsidRPr="00017747">
              <w:rPr>
                <w:rFonts w:cstheme="minorHAnsi"/>
              </w:rPr>
              <w:t>2027-2028</w:t>
            </w:r>
            <w:r w:rsidR="0049374C" w:rsidRPr="00017747">
              <w:rPr>
                <w:rFonts w:cstheme="minorHAnsi"/>
              </w:rPr>
              <w:t>*</w:t>
            </w:r>
          </w:p>
        </w:tc>
      </w:tr>
      <w:tr w:rsidR="0005522A" w:rsidRPr="00017747" w14:paraId="45123C72" w14:textId="77777777" w:rsidTr="007B1EC9">
        <w:tc>
          <w:tcPr>
            <w:tcW w:w="704" w:type="dxa"/>
            <w:vAlign w:val="center"/>
          </w:tcPr>
          <w:p w14:paraId="25B389F8" w14:textId="77777777" w:rsidR="0005522A" w:rsidRPr="00017747" w:rsidRDefault="0005522A" w:rsidP="00017747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ind w:left="454"/>
              <w:contextualSpacing w:val="0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73C0C003" w14:textId="0C24B7D7" w:rsidR="0005522A" w:rsidRPr="00017747" w:rsidRDefault="0005522A" w:rsidP="00017747">
            <w:pPr>
              <w:spacing w:before="120" w:after="120" w:line="360" w:lineRule="auto"/>
              <w:rPr>
                <w:rFonts w:cstheme="minorHAnsi"/>
              </w:rPr>
            </w:pPr>
            <w:r w:rsidRPr="00017747">
              <w:rPr>
                <w:rFonts w:cstheme="minorHAnsi"/>
              </w:rPr>
              <w:t>Instalacja urządzeń lub zastosowanie środków technicznych i rozwiązań architektonicznych w budynku, które umożliwiają dostęp do wszystkich pomieszczeń, z wyłączeniem pomieszczeń technicznych</w:t>
            </w:r>
          </w:p>
        </w:tc>
        <w:tc>
          <w:tcPr>
            <w:tcW w:w="3827" w:type="dxa"/>
            <w:vAlign w:val="center"/>
          </w:tcPr>
          <w:p w14:paraId="0872CFCE" w14:textId="27DFF658" w:rsidR="0005522A" w:rsidRPr="00017747" w:rsidRDefault="009465B6" w:rsidP="00017747">
            <w:pPr>
              <w:spacing w:before="120" w:after="120" w:line="360" w:lineRule="auto"/>
              <w:rPr>
                <w:rFonts w:cstheme="minorHAnsi"/>
              </w:rPr>
            </w:pPr>
            <w:r w:rsidRPr="00017747">
              <w:rPr>
                <w:rFonts w:cstheme="minorHAnsi"/>
              </w:rPr>
              <w:t>Umieszczenie przy drzwiach tabliczek z nazwą komórki organizacyjnej i numerem pokoju w kolorach kontrastowych oraz w alfabecie Brail</w:t>
            </w:r>
            <w:r w:rsidR="00210B9F" w:rsidRPr="00017747">
              <w:rPr>
                <w:rFonts w:cstheme="minorHAnsi"/>
              </w:rPr>
              <w:t>le</w:t>
            </w:r>
            <w:r w:rsidRPr="00017747">
              <w:rPr>
                <w:rFonts w:cstheme="minorHAnsi"/>
              </w:rPr>
              <w:t>’a</w:t>
            </w:r>
          </w:p>
        </w:tc>
        <w:tc>
          <w:tcPr>
            <w:tcW w:w="1985" w:type="dxa"/>
            <w:vAlign w:val="center"/>
          </w:tcPr>
          <w:p w14:paraId="379AB4AE" w14:textId="6F11F7D6" w:rsidR="0005522A" w:rsidRPr="00017747" w:rsidRDefault="009465B6" w:rsidP="00017747">
            <w:pPr>
              <w:spacing w:before="120" w:after="120" w:line="360" w:lineRule="auto"/>
              <w:rPr>
                <w:rFonts w:cstheme="minorHAnsi"/>
              </w:rPr>
            </w:pPr>
            <w:r w:rsidRPr="00017747">
              <w:rPr>
                <w:rFonts w:cstheme="minorHAnsi"/>
              </w:rPr>
              <w:t>aktualizacja w przypadku zmian</w:t>
            </w:r>
            <w:r w:rsidR="0049374C" w:rsidRPr="00017747">
              <w:rPr>
                <w:rFonts w:cstheme="minorHAnsi"/>
              </w:rPr>
              <w:t>*</w:t>
            </w:r>
          </w:p>
        </w:tc>
      </w:tr>
      <w:tr w:rsidR="00E97933" w:rsidRPr="00017747" w14:paraId="4C045039" w14:textId="77777777" w:rsidTr="007B1EC9">
        <w:tc>
          <w:tcPr>
            <w:tcW w:w="704" w:type="dxa"/>
            <w:vAlign w:val="center"/>
          </w:tcPr>
          <w:p w14:paraId="34B8AAD7" w14:textId="66C8B6F4" w:rsidR="00E97933" w:rsidRPr="00017747" w:rsidRDefault="00E97933" w:rsidP="00017747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ind w:left="454"/>
              <w:contextualSpacing w:val="0"/>
              <w:rPr>
                <w:rFonts w:cstheme="minorHAnsi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B7EC496" w14:textId="462D78B3" w:rsidR="00E97933" w:rsidRPr="00017747" w:rsidRDefault="00E97933" w:rsidP="00017747">
            <w:pPr>
              <w:spacing w:before="120" w:after="120" w:line="360" w:lineRule="auto"/>
              <w:rPr>
                <w:rFonts w:cstheme="minorHAnsi"/>
              </w:rPr>
            </w:pPr>
            <w:r w:rsidRPr="00017747">
              <w:rPr>
                <w:rFonts w:cstheme="minorHAnsi"/>
              </w:rPr>
              <w:t>Zapewnienie informacji na temat rozkładu pomieszczeń w budynku, co najmniej w sposób wizualny i dotykowy lub głosowy</w:t>
            </w:r>
          </w:p>
        </w:tc>
        <w:tc>
          <w:tcPr>
            <w:tcW w:w="3827" w:type="dxa"/>
            <w:vAlign w:val="center"/>
          </w:tcPr>
          <w:p w14:paraId="39487719" w14:textId="0E7F2C10" w:rsidR="00E97933" w:rsidRPr="00017747" w:rsidRDefault="0049374C" w:rsidP="00017747">
            <w:pPr>
              <w:spacing w:before="120" w:after="120" w:line="360" w:lineRule="auto"/>
              <w:rPr>
                <w:rFonts w:cstheme="minorHAnsi"/>
              </w:rPr>
            </w:pPr>
            <w:r w:rsidRPr="00017747">
              <w:rPr>
                <w:rFonts w:cstheme="minorHAnsi"/>
              </w:rPr>
              <w:t>Lokalizacja</w:t>
            </w:r>
            <w:r w:rsidR="00E97933" w:rsidRPr="00017747">
              <w:rPr>
                <w:rFonts w:cstheme="minorHAnsi"/>
              </w:rPr>
              <w:t xml:space="preserve"> mapy z rozkładem pomieszczeń urzędu (</w:t>
            </w:r>
            <w:proofErr w:type="spellStart"/>
            <w:r w:rsidR="00E97933" w:rsidRPr="00017747">
              <w:rPr>
                <w:rFonts w:cstheme="minorHAnsi"/>
              </w:rPr>
              <w:t>tyflomapy</w:t>
            </w:r>
            <w:proofErr w:type="spellEnd"/>
            <w:r w:rsidR="00E97933" w:rsidRPr="00017747">
              <w:rPr>
                <w:rFonts w:cstheme="minorHAnsi"/>
              </w:rPr>
              <w:t>) czytanej za pomocą zmysłu dotyku lub częściowo wzrokiem z przeznaczeniem dla osób niewidomych i słabowidzących</w:t>
            </w:r>
          </w:p>
        </w:tc>
        <w:tc>
          <w:tcPr>
            <w:tcW w:w="1985" w:type="dxa"/>
            <w:vAlign w:val="center"/>
          </w:tcPr>
          <w:p w14:paraId="2C0DD44C" w14:textId="1F5DCD52" w:rsidR="00E97933" w:rsidRPr="00017747" w:rsidRDefault="009465B6" w:rsidP="00017747">
            <w:pPr>
              <w:spacing w:before="120" w:after="120" w:line="360" w:lineRule="auto"/>
              <w:rPr>
                <w:rFonts w:cstheme="minorHAnsi"/>
              </w:rPr>
            </w:pPr>
            <w:r w:rsidRPr="00017747">
              <w:rPr>
                <w:rFonts w:cstheme="minorHAnsi"/>
              </w:rPr>
              <w:t>aktualizacja w przypadku zmian</w:t>
            </w:r>
            <w:r w:rsidR="0049374C" w:rsidRPr="00017747">
              <w:rPr>
                <w:rFonts w:cstheme="minorHAnsi"/>
              </w:rPr>
              <w:t>*</w:t>
            </w:r>
          </w:p>
        </w:tc>
      </w:tr>
      <w:tr w:rsidR="0003723F" w:rsidRPr="00017747" w14:paraId="54DD5888" w14:textId="77777777" w:rsidTr="007B1EC9">
        <w:tc>
          <w:tcPr>
            <w:tcW w:w="704" w:type="dxa"/>
            <w:vAlign w:val="center"/>
          </w:tcPr>
          <w:p w14:paraId="15D17D6D" w14:textId="77777777" w:rsidR="0003723F" w:rsidRPr="00017747" w:rsidRDefault="0003723F" w:rsidP="00017747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ind w:left="454"/>
              <w:contextualSpacing w:val="0"/>
              <w:rPr>
                <w:rFonts w:cstheme="minorHAnsi"/>
              </w:rPr>
            </w:pPr>
          </w:p>
        </w:tc>
        <w:tc>
          <w:tcPr>
            <w:tcW w:w="2835" w:type="dxa"/>
            <w:vMerge/>
            <w:vAlign w:val="center"/>
          </w:tcPr>
          <w:p w14:paraId="20C57BE4" w14:textId="77777777" w:rsidR="0003723F" w:rsidRPr="00017747" w:rsidRDefault="0003723F" w:rsidP="00017747">
            <w:pPr>
              <w:spacing w:before="120" w:after="120" w:line="360" w:lineRule="auto"/>
              <w:rPr>
                <w:rFonts w:cstheme="minorHAnsi"/>
              </w:rPr>
            </w:pPr>
          </w:p>
        </w:tc>
        <w:tc>
          <w:tcPr>
            <w:tcW w:w="3827" w:type="dxa"/>
            <w:vAlign w:val="center"/>
          </w:tcPr>
          <w:p w14:paraId="532EA3A2" w14:textId="1B4B714E" w:rsidR="0003723F" w:rsidRPr="00017747" w:rsidRDefault="00B3638F" w:rsidP="00017747">
            <w:pPr>
              <w:spacing w:before="120" w:after="120" w:line="360" w:lineRule="auto"/>
              <w:rPr>
                <w:rFonts w:cstheme="minorHAnsi"/>
              </w:rPr>
            </w:pPr>
            <w:r w:rsidRPr="00017747">
              <w:rPr>
                <w:rFonts w:cstheme="minorHAnsi"/>
              </w:rPr>
              <w:t>Przystosowanie</w:t>
            </w:r>
            <w:r w:rsidR="0003723F" w:rsidRPr="00017747">
              <w:rPr>
                <w:rFonts w:cstheme="minorHAnsi"/>
              </w:rPr>
              <w:t xml:space="preserve"> tablic z nazwami komórek organizacyjnych i numerami pokoi do wymagań osób ze szczególnymi potrzebami (zapewnienie kontrastu)</w:t>
            </w:r>
          </w:p>
        </w:tc>
        <w:tc>
          <w:tcPr>
            <w:tcW w:w="1985" w:type="dxa"/>
            <w:vAlign w:val="center"/>
          </w:tcPr>
          <w:p w14:paraId="3F485478" w14:textId="37ED7DA0" w:rsidR="0003723F" w:rsidRPr="00017747" w:rsidRDefault="009465B6" w:rsidP="00017747">
            <w:pPr>
              <w:spacing w:before="120" w:after="120" w:line="360" w:lineRule="auto"/>
              <w:rPr>
                <w:rFonts w:cstheme="minorHAnsi"/>
              </w:rPr>
            </w:pPr>
            <w:r w:rsidRPr="00017747">
              <w:rPr>
                <w:rFonts w:cstheme="minorHAnsi"/>
              </w:rPr>
              <w:t>aktualizacja w przypadku zmian</w:t>
            </w:r>
            <w:r w:rsidR="00B3638F" w:rsidRPr="00017747">
              <w:rPr>
                <w:rFonts w:cstheme="minorHAnsi"/>
              </w:rPr>
              <w:t>*</w:t>
            </w:r>
          </w:p>
        </w:tc>
      </w:tr>
    </w:tbl>
    <w:p w14:paraId="7925DD33" w14:textId="27BAC5ED" w:rsidR="00790EBF" w:rsidRPr="00017747" w:rsidRDefault="0060316A" w:rsidP="00017747">
      <w:pPr>
        <w:spacing w:after="0" w:line="360" w:lineRule="auto"/>
        <w:jc w:val="both"/>
        <w:rPr>
          <w:rFonts w:cstheme="minorHAnsi"/>
          <w:i/>
          <w:iCs/>
          <w:sz w:val="23"/>
          <w:szCs w:val="23"/>
        </w:rPr>
      </w:pPr>
      <w:r w:rsidRPr="00017747">
        <w:rPr>
          <w:rFonts w:cstheme="minorHAnsi"/>
          <w:i/>
          <w:iCs/>
          <w:sz w:val="23"/>
          <w:szCs w:val="23"/>
        </w:rPr>
        <w:t>* w zależności od posiadanych</w:t>
      </w:r>
      <w:r w:rsidR="003C69A5" w:rsidRPr="00017747">
        <w:rPr>
          <w:rFonts w:cstheme="minorHAnsi"/>
          <w:i/>
          <w:iCs/>
          <w:sz w:val="23"/>
          <w:szCs w:val="23"/>
        </w:rPr>
        <w:t xml:space="preserve"> / pozyskanych</w:t>
      </w:r>
      <w:r w:rsidRPr="00017747">
        <w:rPr>
          <w:rFonts w:cstheme="minorHAnsi"/>
          <w:i/>
          <w:iCs/>
          <w:sz w:val="23"/>
          <w:szCs w:val="23"/>
        </w:rPr>
        <w:t xml:space="preserve"> środków finansowych</w:t>
      </w:r>
    </w:p>
    <w:p w14:paraId="34236B71" w14:textId="77777777" w:rsidR="0060316A" w:rsidRPr="00017747" w:rsidRDefault="0060316A" w:rsidP="00017747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446F6E48" w14:textId="094D9EBF" w:rsidR="00385AD5" w:rsidRPr="006F228D" w:rsidRDefault="0005618A" w:rsidP="00017747">
      <w:pPr>
        <w:spacing w:after="0" w:line="360" w:lineRule="auto"/>
        <w:jc w:val="both"/>
        <w:rPr>
          <w:rFonts w:cstheme="minorHAnsi"/>
        </w:rPr>
      </w:pPr>
      <w:r w:rsidRPr="006F228D">
        <w:rPr>
          <w:rFonts w:cstheme="minorHAnsi"/>
        </w:rPr>
        <w:t>Opracow</w:t>
      </w:r>
      <w:r w:rsidR="006E0211" w:rsidRPr="006F228D">
        <w:rPr>
          <w:rFonts w:cstheme="minorHAnsi"/>
        </w:rPr>
        <w:t>anie</w:t>
      </w:r>
      <w:r w:rsidRPr="006F228D">
        <w:rPr>
          <w:rFonts w:cstheme="minorHAnsi"/>
        </w:rPr>
        <w:t>:</w:t>
      </w:r>
    </w:p>
    <w:p w14:paraId="54393738" w14:textId="12FCF7A5" w:rsidR="00E96790" w:rsidRPr="006F228D" w:rsidRDefault="00224F79" w:rsidP="0001774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cstheme="minorHAnsi"/>
        </w:rPr>
      </w:pPr>
      <w:r w:rsidRPr="006F228D">
        <w:rPr>
          <w:rFonts w:cstheme="minorHAnsi"/>
        </w:rPr>
        <w:t>Katarzyna Skiba-Rudowska</w:t>
      </w:r>
      <w:r w:rsidR="00E96790" w:rsidRPr="006F228D">
        <w:rPr>
          <w:rFonts w:cstheme="minorHAnsi"/>
        </w:rPr>
        <w:t xml:space="preserve"> – w zakresie dostępności architektonicznej</w:t>
      </w:r>
    </w:p>
    <w:p w14:paraId="7486F715" w14:textId="70E42291" w:rsidR="00E96790" w:rsidRPr="006F228D" w:rsidRDefault="00224F79" w:rsidP="0001774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cstheme="minorHAnsi"/>
        </w:rPr>
      </w:pPr>
      <w:r w:rsidRPr="006F228D">
        <w:rPr>
          <w:rFonts w:cstheme="minorHAnsi"/>
        </w:rPr>
        <w:t>Grzegorz Rzepkowski</w:t>
      </w:r>
      <w:r w:rsidR="00E96790" w:rsidRPr="006F228D">
        <w:rPr>
          <w:rFonts w:cstheme="minorHAnsi"/>
        </w:rPr>
        <w:t xml:space="preserve"> – w zakresie dostępności cyfrowej</w:t>
      </w:r>
    </w:p>
    <w:p w14:paraId="0DF12138" w14:textId="5584AF0F" w:rsidR="002B0190" w:rsidRPr="006F228D" w:rsidRDefault="00E96790" w:rsidP="0001774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cstheme="minorHAnsi"/>
        </w:rPr>
      </w:pPr>
      <w:r w:rsidRPr="006F228D">
        <w:rPr>
          <w:rFonts w:cstheme="minorHAnsi"/>
        </w:rPr>
        <w:t>Joanna Majewska – w zakresie dostępności informacyjno-komunikacyjnej</w:t>
      </w:r>
    </w:p>
    <w:sectPr w:rsidR="002B0190" w:rsidRPr="006F228D" w:rsidSect="00917845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2938" w14:textId="77777777" w:rsidR="00B445D1" w:rsidRDefault="00B445D1" w:rsidP="002B0190">
      <w:pPr>
        <w:spacing w:after="0" w:line="240" w:lineRule="auto"/>
      </w:pPr>
      <w:r>
        <w:separator/>
      </w:r>
    </w:p>
  </w:endnote>
  <w:endnote w:type="continuationSeparator" w:id="0">
    <w:p w14:paraId="1E70F431" w14:textId="77777777" w:rsidR="00B445D1" w:rsidRDefault="00B445D1" w:rsidP="002B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61790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ABCEA91" w14:textId="3521B99E" w:rsidR="002B0190" w:rsidRPr="00C126E5" w:rsidRDefault="002B0190" w:rsidP="002B0190">
            <w:pPr>
              <w:pStyle w:val="Stopka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C07C" w14:textId="77777777" w:rsidR="00B445D1" w:rsidRDefault="00B445D1" w:rsidP="002B0190">
      <w:pPr>
        <w:spacing w:after="0" w:line="240" w:lineRule="auto"/>
      </w:pPr>
      <w:r>
        <w:separator/>
      </w:r>
    </w:p>
  </w:footnote>
  <w:footnote w:type="continuationSeparator" w:id="0">
    <w:p w14:paraId="0EAA924B" w14:textId="77777777" w:rsidR="00B445D1" w:rsidRDefault="00B445D1" w:rsidP="002B0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81B"/>
    <w:multiLevelType w:val="hybridMultilevel"/>
    <w:tmpl w:val="290AC33C"/>
    <w:lvl w:ilvl="0" w:tplc="8D8CDF8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42522E0"/>
    <w:multiLevelType w:val="hybridMultilevel"/>
    <w:tmpl w:val="3D3ECEB8"/>
    <w:lvl w:ilvl="0" w:tplc="C660D9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19029F"/>
    <w:multiLevelType w:val="hybridMultilevel"/>
    <w:tmpl w:val="B7605490"/>
    <w:lvl w:ilvl="0" w:tplc="B7B2A7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7D6F25"/>
    <w:multiLevelType w:val="multilevel"/>
    <w:tmpl w:val="44CA8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5586D"/>
    <w:multiLevelType w:val="hybridMultilevel"/>
    <w:tmpl w:val="021AE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B1C40"/>
    <w:multiLevelType w:val="hybridMultilevel"/>
    <w:tmpl w:val="7FD47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507F"/>
    <w:multiLevelType w:val="hybridMultilevel"/>
    <w:tmpl w:val="380EC4F8"/>
    <w:lvl w:ilvl="0" w:tplc="00CCF29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7385089"/>
    <w:multiLevelType w:val="hybridMultilevel"/>
    <w:tmpl w:val="B79ED5FC"/>
    <w:lvl w:ilvl="0" w:tplc="11847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E0878"/>
    <w:multiLevelType w:val="hybridMultilevel"/>
    <w:tmpl w:val="18E08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E2306"/>
    <w:multiLevelType w:val="hybridMultilevel"/>
    <w:tmpl w:val="85D83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266D9"/>
    <w:multiLevelType w:val="hybridMultilevel"/>
    <w:tmpl w:val="432EA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C3926"/>
    <w:multiLevelType w:val="hybridMultilevel"/>
    <w:tmpl w:val="839EAA2E"/>
    <w:lvl w:ilvl="0" w:tplc="4DECBA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87C1370"/>
    <w:multiLevelType w:val="hybridMultilevel"/>
    <w:tmpl w:val="A1F482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763E9"/>
    <w:multiLevelType w:val="hybridMultilevel"/>
    <w:tmpl w:val="C94E4C56"/>
    <w:lvl w:ilvl="0" w:tplc="838AB3DE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6" w:hanging="360"/>
      </w:pPr>
    </w:lvl>
    <w:lvl w:ilvl="2" w:tplc="0415001B" w:tentative="1">
      <w:start w:val="1"/>
      <w:numFmt w:val="lowerRoman"/>
      <w:lvlText w:val="%3."/>
      <w:lvlJc w:val="right"/>
      <w:pPr>
        <w:ind w:left="1906" w:hanging="180"/>
      </w:pPr>
    </w:lvl>
    <w:lvl w:ilvl="3" w:tplc="0415000F" w:tentative="1">
      <w:start w:val="1"/>
      <w:numFmt w:val="decimal"/>
      <w:lvlText w:val="%4."/>
      <w:lvlJc w:val="left"/>
      <w:pPr>
        <w:ind w:left="2626" w:hanging="360"/>
      </w:pPr>
    </w:lvl>
    <w:lvl w:ilvl="4" w:tplc="04150019" w:tentative="1">
      <w:start w:val="1"/>
      <w:numFmt w:val="lowerLetter"/>
      <w:lvlText w:val="%5."/>
      <w:lvlJc w:val="left"/>
      <w:pPr>
        <w:ind w:left="3346" w:hanging="360"/>
      </w:pPr>
    </w:lvl>
    <w:lvl w:ilvl="5" w:tplc="0415001B" w:tentative="1">
      <w:start w:val="1"/>
      <w:numFmt w:val="lowerRoman"/>
      <w:lvlText w:val="%6."/>
      <w:lvlJc w:val="right"/>
      <w:pPr>
        <w:ind w:left="4066" w:hanging="180"/>
      </w:pPr>
    </w:lvl>
    <w:lvl w:ilvl="6" w:tplc="0415000F" w:tentative="1">
      <w:start w:val="1"/>
      <w:numFmt w:val="decimal"/>
      <w:lvlText w:val="%7."/>
      <w:lvlJc w:val="left"/>
      <w:pPr>
        <w:ind w:left="4786" w:hanging="360"/>
      </w:pPr>
    </w:lvl>
    <w:lvl w:ilvl="7" w:tplc="04150019" w:tentative="1">
      <w:start w:val="1"/>
      <w:numFmt w:val="lowerLetter"/>
      <w:lvlText w:val="%8."/>
      <w:lvlJc w:val="left"/>
      <w:pPr>
        <w:ind w:left="5506" w:hanging="360"/>
      </w:pPr>
    </w:lvl>
    <w:lvl w:ilvl="8" w:tplc="0415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4" w15:restartNumberingAfterBreak="0">
    <w:nsid w:val="4C691836"/>
    <w:multiLevelType w:val="hybridMultilevel"/>
    <w:tmpl w:val="18E08E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30F08"/>
    <w:multiLevelType w:val="hybridMultilevel"/>
    <w:tmpl w:val="7474E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850BF"/>
    <w:multiLevelType w:val="hybridMultilevel"/>
    <w:tmpl w:val="FCE8D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E5AC5"/>
    <w:multiLevelType w:val="hybridMultilevel"/>
    <w:tmpl w:val="A1F482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1431B"/>
    <w:multiLevelType w:val="hybridMultilevel"/>
    <w:tmpl w:val="1862E596"/>
    <w:lvl w:ilvl="0" w:tplc="8B44211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7637CB9"/>
    <w:multiLevelType w:val="hybridMultilevel"/>
    <w:tmpl w:val="45E84700"/>
    <w:lvl w:ilvl="0" w:tplc="462C7C62">
      <w:start w:val="1"/>
      <w:numFmt w:val="lowerLetter"/>
      <w:lvlText w:val="%1)"/>
      <w:lvlJc w:val="left"/>
      <w:pPr>
        <w:ind w:left="1145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6F766194"/>
    <w:multiLevelType w:val="hybridMultilevel"/>
    <w:tmpl w:val="8040B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66ECC"/>
    <w:multiLevelType w:val="hybridMultilevel"/>
    <w:tmpl w:val="76E23C30"/>
    <w:lvl w:ilvl="0" w:tplc="4AD07CE8">
      <w:start w:val="1"/>
      <w:numFmt w:val="decimal"/>
      <w:lvlText w:val="%1)"/>
      <w:lvlJc w:val="left"/>
      <w:pPr>
        <w:ind w:left="785" w:hanging="360"/>
      </w:pPr>
      <w:rPr>
        <w:rFonts w:hint="default"/>
        <w:color w:val="212529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306979709">
    <w:abstractNumId w:val="8"/>
  </w:num>
  <w:num w:numId="2" w16cid:durableId="155804787">
    <w:abstractNumId w:val="17"/>
  </w:num>
  <w:num w:numId="3" w16cid:durableId="1424498893">
    <w:abstractNumId w:val="12"/>
  </w:num>
  <w:num w:numId="4" w16cid:durableId="127599571">
    <w:abstractNumId w:val="9"/>
  </w:num>
  <w:num w:numId="5" w16cid:durableId="1592811216">
    <w:abstractNumId w:val="7"/>
  </w:num>
  <w:num w:numId="6" w16cid:durableId="1275286468">
    <w:abstractNumId w:val="15"/>
  </w:num>
  <w:num w:numId="7" w16cid:durableId="1892502017">
    <w:abstractNumId w:val="10"/>
  </w:num>
  <w:num w:numId="8" w16cid:durableId="2015064300">
    <w:abstractNumId w:val="13"/>
  </w:num>
  <w:num w:numId="9" w16cid:durableId="1184048931">
    <w:abstractNumId w:val="5"/>
  </w:num>
  <w:num w:numId="10" w16cid:durableId="1002974196">
    <w:abstractNumId w:val="20"/>
  </w:num>
  <w:num w:numId="11" w16cid:durableId="1881743021">
    <w:abstractNumId w:val="4"/>
  </w:num>
  <w:num w:numId="12" w16cid:durableId="1955820963">
    <w:abstractNumId w:val="14"/>
  </w:num>
  <w:num w:numId="13" w16cid:durableId="1490095825">
    <w:abstractNumId w:val="16"/>
  </w:num>
  <w:num w:numId="14" w16cid:durableId="5712271">
    <w:abstractNumId w:val="2"/>
  </w:num>
  <w:num w:numId="15" w16cid:durableId="144900895">
    <w:abstractNumId w:val="18"/>
  </w:num>
  <w:num w:numId="16" w16cid:durableId="1585140483">
    <w:abstractNumId w:val="11"/>
  </w:num>
  <w:num w:numId="17" w16cid:durableId="374233507">
    <w:abstractNumId w:val="1"/>
  </w:num>
  <w:num w:numId="18" w16cid:durableId="915826757">
    <w:abstractNumId w:val="6"/>
  </w:num>
  <w:num w:numId="19" w16cid:durableId="642854044">
    <w:abstractNumId w:val="21"/>
  </w:num>
  <w:num w:numId="20" w16cid:durableId="1257638107">
    <w:abstractNumId w:val="0"/>
  </w:num>
  <w:num w:numId="21" w16cid:durableId="242299658">
    <w:abstractNumId w:val="19"/>
  </w:num>
  <w:num w:numId="22" w16cid:durableId="1967200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86"/>
    <w:rsid w:val="00017747"/>
    <w:rsid w:val="0003723F"/>
    <w:rsid w:val="0005522A"/>
    <w:rsid w:val="0005618A"/>
    <w:rsid w:val="000A73A5"/>
    <w:rsid w:val="000B5182"/>
    <w:rsid w:val="000B5315"/>
    <w:rsid w:val="000C099E"/>
    <w:rsid w:val="00106845"/>
    <w:rsid w:val="0015047A"/>
    <w:rsid w:val="0018494C"/>
    <w:rsid w:val="00191BFC"/>
    <w:rsid w:val="001C308F"/>
    <w:rsid w:val="0020627F"/>
    <w:rsid w:val="00210B9F"/>
    <w:rsid w:val="0021761A"/>
    <w:rsid w:val="00224F79"/>
    <w:rsid w:val="002A0350"/>
    <w:rsid w:val="002B0190"/>
    <w:rsid w:val="002D490B"/>
    <w:rsid w:val="002E2A86"/>
    <w:rsid w:val="00362D51"/>
    <w:rsid w:val="0038447E"/>
    <w:rsid w:val="00385AD5"/>
    <w:rsid w:val="00386805"/>
    <w:rsid w:val="0039135A"/>
    <w:rsid w:val="003C69A5"/>
    <w:rsid w:val="003D3839"/>
    <w:rsid w:val="003E1229"/>
    <w:rsid w:val="00404570"/>
    <w:rsid w:val="0045150E"/>
    <w:rsid w:val="00480FE9"/>
    <w:rsid w:val="00484ED2"/>
    <w:rsid w:val="0049374C"/>
    <w:rsid w:val="004A68AF"/>
    <w:rsid w:val="004B11D8"/>
    <w:rsid w:val="004B5095"/>
    <w:rsid w:val="004C4BEF"/>
    <w:rsid w:val="004C6C65"/>
    <w:rsid w:val="004D7311"/>
    <w:rsid w:val="00513FAD"/>
    <w:rsid w:val="00522797"/>
    <w:rsid w:val="00540F80"/>
    <w:rsid w:val="005452C1"/>
    <w:rsid w:val="005C438A"/>
    <w:rsid w:val="005F3018"/>
    <w:rsid w:val="005F43FE"/>
    <w:rsid w:val="0060316A"/>
    <w:rsid w:val="006129DA"/>
    <w:rsid w:val="00670CAA"/>
    <w:rsid w:val="006E0211"/>
    <w:rsid w:val="006E7BC6"/>
    <w:rsid w:val="006F228D"/>
    <w:rsid w:val="006F430A"/>
    <w:rsid w:val="007378C7"/>
    <w:rsid w:val="007466B1"/>
    <w:rsid w:val="007478A3"/>
    <w:rsid w:val="0075792F"/>
    <w:rsid w:val="00760782"/>
    <w:rsid w:val="007743D8"/>
    <w:rsid w:val="00790EBF"/>
    <w:rsid w:val="00796B8D"/>
    <w:rsid w:val="007A0DBC"/>
    <w:rsid w:val="007A5445"/>
    <w:rsid w:val="007B1EC9"/>
    <w:rsid w:val="00806DDA"/>
    <w:rsid w:val="008167FB"/>
    <w:rsid w:val="008504F5"/>
    <w:rsid w:val="00857993"/>
    <w:rsid w:val="008B401F"/>
    <w:rsid w:val="008D7360"/>
    <w:rsid w:val="008F2DB8"/>
    <w:rsid w:val="008F4D21"/>
    <w:rsid w:val="008F7FE9"/>
    <w:rsid w:val="00917845"/>
    <w:rsid w:val="00923A24"/>
    <w:rsid w:val="009465B6"/>
    <w:rsid w:val="009476F4"/>
    <w:rsid w:val="00992BFD"/>
    <w:rsid w:val="009B4DD4"/>
    <w:rsid w:val="009C5B28"/>
    <w:rsid w:val="00A654FD"/>
    <w:rsid w:val="00A67691"/>
    <w:rsid w:val="00A9548A"/>
    <w:rsid w:val="00AA12A8"/>
    <w:rsid w:val="00AB2896"/>
    <w:rsid w:val="00AC708E"/>
    <w:rsid w:val="00B12ED3"/>
    <w:rsid w:val="00B353F6"/>
    <w:rsid w:val="00B3638F"/>
    <w:rsid w:val="00B445D1"/>
    <w:rsid w:val="00B44642"/>
    <w:rsid w:val="00C126E5"/>
    <w:rsid w:val="00C231B3"/>
    <w:rsid w:val="00C31886"/>
    <w:rsid w:val="00C34320"/>
    <w:rsid w:val="00C4417B"/>
    <w:rsid w:val="00CA3946"/>
    <w:rsid w:val="00D05440"/>
    <w:rsid w:val="00D12BAB"/>
    <w:rsid w:val="00D35B3F"/>
    <w:rsid w:val="00D37264"/>
    <w:rsid w:val="00D42964"/>
    <w:rsid w:val="00D55A4E"/>
    <w:rsid w:val="00D56AAE"/>
    <w:rsid w:val="00D62277"/>
    <w:rsid w:val="00D709DE"/>
    <w:rsid w:val="00DE4157"/>
    <w:rsid w:val="00DE5A90"/>
    <w:rsid w:val="00DE7001"/>
    <w:rsid w:val="00DF0810"/>
    <w:rsid w:val="00DF5F80"/>
    <w:rsid w:val="00E00702"/>
    <w:rsid w:val="00E00D61"/>
    <w:rsid w:val="00E1204F"/>
    <w:rsid w:val="00E1247A"/>
    <w:rsid w:val="00E16006"/>
    <w:rsid w:val="00E91778"/>
    <w:rsid w:val="00E96790"/>
    <w:rsid w:val="00E97933"/>
    <w:rsid w:val="00EE0B1B"/>
    <w:rsid w:val="00F1702B"/>
    <w:rsid w:val="00F35B3F"/>
    <w:rsid w:val="00F41F84"/>
    <w:rsid w:val="00F43139"/>
    <w:rsid w:val="00F50313"/>
    <w:rsid w:val="00F568FC"/>
    <w:rsid w:val="00FA0B30"/>
    <w:rsid w:val="00FE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D1DB"/>
  <w15:chartTrackingRefBased/>
  <w15:docId w15:val="{C7141D1E-73F4-46BB-AA7D-6A4FC565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76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190"/>
  </w:style>
  <w:style w:type="paragraph" w:styleId="Stopka">
    <w:name w:val="footer"/>
    <w:basedOn w:val="Normalny"/>
    <w:link w:val="StopkaZnak"/>
    <w:uiPriority w:val="99"/>
    <w:unhideWhenUsed/>
    <w:rsid w:val="002B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190"/>
  </w:style>
  <w:style w:type="paragraph" w:styleId="NormalnyWeb">
    <w:name w:val="Normal (Web)"/>
    <w:basedOn w:val="Normalny"/>
    <w:uiPriority w:val="99"/>
    <w:unhideWhenUsed/>
    <w:rsid w:val="00513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13FA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3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96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785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348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2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93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5EA93-969C-49A5-8A46-9757A406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1257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Sekutowicz</dc:creator>
  <cp:keywords/>
  <dc:description/>
  <cp:lastModifiedBy>Joanna Majewska</cp:lastModifiedBy>
  <cp:revision>4</cp:revision>
  <cp:lastPrinted>2022-03-29T11:09:00Z</cp:lastPrinted>
  <dcterms:created xsi:type="dcterms:W3CDTF">2026-06-25T10:53:00Z</dcterms:created>
  <dcterms:modified xsi:type="dcterms:W3CDTF">2026-06-25T12:09:00Z</dcterms:modified>
</cp:coreProperties>
</file>